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30" w:rsidRPr="009D3604" w:rsidRDefault="0026395D" w:rsidP="0026395D">
      <w:pPr>
        <w:spacing w:after="0" w:line="360" w:lineRule="auto"/>
        <w:jc w:val="center"/>
        <w:rPr>
          <w:b/>
          <w:sz w:val="32"/>
          <w:szCs w:val="32"/>
          <w:lang w:val="en-US"/>
        </w:rPr>
      </w:pPr>
      <w:r>
        <w:rPr>
          <w:rFonts w:ascii="Times New Roman" w:hAnsi="Times New Roman"/>
          <w:b/>
          <w:sz w:val="32"/>
          <w:szCs w:val="32"/>
        </w:rPr>
        <w:t>The analysis of chronic e</w:t>
      </w:r>
      <w:r w:rsidR="009D3604" w:rsidRPr="009D3604">
        <w:rPr>
          <w:rFonts w:ascii="Times New Roman" w:hAnsi="Times New Roman"/>
          <w:b/>
          <w:sz w:val="32"/>
          <w:szCs w:val="32"/>
        </w:rPr>
        <w:t>nerg</w:t>
      </w:r>
      <w:r>
        <w:rPr>
          <w:rFonts w:ascii="Times New Roman" w:hAnsi="Times New Roman"/>
          <w:b/>
          <w:sz w:val="32"/>
          <w:szCs w:val="32"/>
        </w:rPr>
        <w:t>y malnutrition and iron intake with a</w:t>
      </w:r>
      <w:r w:rsidR="009D3604" w:rsidRPr="009D3604">
        <w:rPr>
          <w:rFonts w:ascii="Times New Roman" w:hAnsi="Times New Roman"/>
          <w:b/>
          <w:sz w:val="32"/>
          <w:szCs w:val="32"/>
        </w:rPr>
        <w:t xml:space="preserve">nemia </w:t>
      </w:r>
      <w:r>
        <w:rPr>
          <w:rFonts w:ascii="Times New Roman" w:hAnsi="Times New Roman"/>
          <w:b/>
          <w:bCs/>
          <w:sz w:val="32"/>
          <w:szCs w:val="32"/>
        </w:rPr>
        <w:t>in preconception women of childbearing age i</w:t>
      </w:r>
      <w:r w:rsidR="009D3604" w:rsidRPr="009D3604">
        <w:rPr>
          <w:rFonts w:ascii="Times New Roman" w:hAnsi="Times New Roman"/>
          <w:b/>
          <w:bCs/>
          <w:sz w:val="32"/>
          <w:szCs w:val="32"/>
        </w:rPr>
        <w:t>n Terbanggi Besar Subdistrict, District of Central Lampung.</w:t>
      </w:r>
    </w:p>
    <w:p w:rsidR="0026395D" w:rsidRDefault="0026395D" w:rsidP="0026395D">
      <w:pPr>
        <w:spacing w:after="0" w:line="360" w:lineRule="auto"/>
        <w:rPr>
          <w:rFonts w:ascii="Times New Roman" w:hAnsi="Times New Roman"/>
          <w:sz w:val="32"/>
          <w:szCs w:val="32"/>
        </w:rPr>
      </w:pPr>
    </w:p>
    <w:p w:rsidR="00C318E7" w:rsidRPr="00A63A01" w:rsidRDefault="0026395D" w:rsidP="0026395D">
      <w:pPr>
        <w:spacing w:after="0" w:line="360" w:lineRule="auto"/>
        <w:rPr>
          <w:rFonts w:ascii="Times New Roman" w:hAnsi="Times New Roman"/>
          <w:sz w:val="28"/>
          <w:szCs w:val="28"/>
          <w:vertAlign w:val="superscript"/>
        </w:rPr>
      </w:pPr>
      <w:r w:rsidRPr="00A63A01">
        <w:rPr>
          <w:rFonts w:ascii="Times New Roman" w:hAnsi="Times New Roman"/>
          <w:sz w:val="28"/>
          <w:szCs w:val="28"/>
        </w:rPr>
        <w:t>Dian Isti Angraini</w:t>
      </w:r>
      <w:r w:rsidRPr="00A63A01">
        <w:rPr>
          <w:rFonts w:ascii="Times New Roman" w:hAnsi="Times New Roman"/>
          <w:sz w:val="28"/>
          <w:szCs w:val="28"/>
          <w:vertAlign w:val="superscript"/>
        </w:rPr>
        <w:t>1</w:t>
      </w:r>
      <w:r w:rsidRPr="00A63A01">
        <w:rPr>
          <w:rFonts w:ascii="Times New Roman" w:hAnsi="Times New Roman"/>
          <w:sz w:val="28"/>
          <w:szCs w:val="28"/>
        </w:rPr>
        <w:t xml:space="preserve"> and Sofyan Musyabiq Wijaya</w:t>
      </w:r>
      <w:r w:rsidRPr="00A63A01">
        <w:rPr>
          <w:rFonts w:ascii="Times New Roman" w:hAnsi="Times New Roman"/>
          <w:sz w:val="28"/>
          <w:szCs w:val="28"/>
          <w:vertAlign w:val="superscript"/>
        </w:rPr>
        <w:t>1</w:t>
      </w:r>
    </w:p>
    <w:p w:rsidR="0026395D" w:rsidRDefault="0026395D" w:rsidP="0026395D">
      <w:pPr>
        <w:spacing w:after="0" w:line="360" w:lineRule="auto"/>
        <w:rPr>
          <w:rFonts w:ascii="Times New Roman" w:hAnsi="Times New Roman"/>
          <w:sz w:val="24"/>
          <w:szCs w:val="24"/>
        </w:rPr>
      </w:pPr>
      <w:r w:rsidRPr="006B726A">
        <w:rPr>
          <w:rFonts w:ascii="Times New Roman" w:hAnsi="Times New Roman"/>
          <w:sz w:val="24"/>
          <w:szCs w:val="24"/>
          <w:vertAlign w:val="superscript"/>
        </w:rPr>
        <w:t>1</w:t>
      </w:r>
      <w:r>
        <w:rPr>
          <w:rFonts w:ascii="Times New Roman" w:hAnsi="Times New Roman"/>
          <w:sz w:val="24"/>
          <w:szCs w:val="24"/>
        </w:rPr>
        <w:t xml:space="preserve">University of Lampung, </w:t>
      </w:r>
      <w:r w:rsidR="00200729">
        <w:rPr>
          <w:rFonts w:ascii="Times New Roman" w:hAnsi="Times New Roman"/>
          <w:sz w:val="24"/>
          <w:szCs w:val="24"/>
        </w:rPr>
        <w:t xml:space="preserve">Medical Faculty, </w:t>
      </w:r>
      <w:r>
        <w:rPr>
          <w:rFonts w:ascii="Times New Roman" w:hAnsi="Times New Roman"/>
          <w:sz w:val="24"/>
          <w:szCs w:val="24"/>
        </w:rPr>
        <w:t>Departement of Community Medicine and Public Health</w:t>
      </w:r>
    </w:p>
    <w:p w:rsidR="0026395D" w:rsidRDefault="0026395D" w:rsidP="0026395D">
      <w:pPr>
        <w:spacing w:line="360" w:lineRule="auto"/>
        <w:ind w:left="567"/>
        <w:jc w:val="both"/>
        <w:rPr>
          <w:rFonts w:ascii="Times New Roman" w:hAnsi="Times New Roman"/>
          <w:bCs/>
          <w:sz w:val="24"/>
          <w:szCs w:val="24"/>
        </w:rPr>
      </w:pPr>
      <w:r w:rsidRPr="0034613C">
        <w:rPr>
          <w:rFonts w:ascii="Times New Roman" w:hAnsi="Times New Roman"/>
          <w:sz w:val="24"/>
          <w:szCs w:val="24"/>
        </w:rPr>
        <w:t xml:space="preserve">The prevalence of anemia among women of childbearing age (WCA) in Lampung Province in 2011 was 25,9%. Anemia in WCA usually continues until the pregnancy that may increase the risk of complications in pregnancy and childbirth. The purpose of this study is to determine the relationship of chronic energy malnutrition and iron intake with anemia in </w:t>
      </w:r>
      <w:r w:rsidRPr="0034613C">
        <w:rPr>
          <w:rFonts w:ascii="Times New Roman" w:hAnsi="Times New Roman"/>
          <w:bCs/>
          <w:sz w:val="24"/>
          <w:szCs w:val="24"/>
        </w:rPr>
        <w:t xml:space="preserve">preconception women of childbearing age. </w:t>
      </w:r>
      <w:r w:rsidRPr="0034613C">
        <w:rPr>
          <w:rFonts w:ascii="Times New Roman" w:hAnsi="Times New Roman"/>
          <w:bCs/>
          <w:sz w:val="24"/>
          <w:szCs w:val="24"/>
          <w:lang w:val="en"/>
        </w:rPr>
        <w:t xml:space="preserve">This was an observational analytic study using cross sectional design. The study was conducted in </w:t>
      </w:r>
      <w:r w:rsidRPr="0034613C">
        <w:rPr>
          <w:rFonts w:ascii="Times New Roman" w:hAnsi="Times New Roman"/>
          <w:bCs/>
          <w:sz w:val="24"/>
          <w:szCs w:val="24"/>
        </w:rPr>
        <w:t>Terbanggi Besar subdistrict</w:t>
      </w:r>
      <w:r w:rsidR="007C2EBB">
        <w:rPr>
          <w:rFonts w:ascii="Times New Roman" w:hAnsi="Times New Roman"/>
          <w:bCs/>
          <w:sz w:val="24"/>
          <w:szCs w:val="24"/>
        </w:rPr>
        <w:t xml:space="preserve">, </w:t>
      </w:r>
      <w:r w:rsidRPr="0034613C">
        <w:rPr>
          <w:rFonts w:ascii="Times New Roman" w:hAnsi="Times New Roman"/>
          <w:bCs/>
          <w:sz w:val="24"/>
          <w:szCs w:val="24"/>
        </w:rPr>
        <w:t>district of C</w:t>
      </w:r>
      <w:proofErr w:type="spellStart"/>
      <w:r w:rsidRPr="0034613C">
        <w:rPr>
          <w:rFonts w:ascii="Times New Roman" w:hAnsi="Times New Roman"/>
          <w:bCs/>
          <w:sz w:val="24"/>
          <w:szCs w:val="24"/>
          <w:lang w:val="en"/>
        </w:rPr>
        <w:t>entral</w:t>
      </w:r>
      <w:proofErr w:type="spellEnd"/>
      <w:r w:rsidRPr="0034613C">
        <w:rPr>
          <w:rFonts w:ascii="Times New Roman" w:hAnsi="Times New Roman"/>
          <w:bCs/>
          <w:sz w:val="24"/>
          <w:szCs w:val="24"/>
          <w:lang w:val="en"/>
        </w:rPr>
        <w:t xml:space="preserve"> Lampung from August to Nove</w:t>
      </w:r>
      <w:r>
        <w:rPr>
          <w:rFonts w:ascii="Times New Roman" w:hAnsi="Times New Roman"/>
          <w:bCs/>
          <w:sz w:val="24"/>
          <w:szCs w:val="24"/>
          <w:lang w:val="en"/>
        </w:rPr>
        <w:t>mber 2016. Samples were 183 pre</w:t>
      </w:r>
      <w:r w:rsidRPr="0034613C">
        <w:rPr>
          <w:rFonts w:ascii="Times New Roman" w:hAnsi="Times New Roman"/>
          <w:bCs/>
          <w:sz w:val="24"/>
          <w:szCs w:val="24"/>
          <w:lang w:val="en"/>
        </w:rPr>
        <w:t xml:space="preserve">conception </w:t>
      </w:r>
      <w:r w:rsidRPr="0034613C">
        <w:rPr>
          <w:rFonts w:ascii="Times New Roman" w:hAnsi="Times New Roman"/>
          <w:bCs/>
          <w:sz w:val="24"/>
          <w:szCs w:val="24"/>
        </w:rPr>
        <w:t>women of childbearing</w:t>
      </w:r>
      <w:r w:rsidRPr="0034613C">
        <w:rPr>
          <w:rFonts w:ascii="Times New Roman" w:hAnsi="Times New Roman"/>
          <w:bCs/>
          <w:sz w:val="24"/>
          <w:szCs w:val="24"/>
          <w:lang w:val="en"/>
        </w:rPr>
        <w:t>aged 20- to 40-year</w:t>
      </w:r>
      <w:r>
        <w:rPr>
          <w:rFonts w:ascii="Times New Roman" w:hAnsi="Times New Roman"/>
          <w:bCs/>
          <w:sz w:val="24"/>
          <w:szCs w:val="24"/>
        </w:rPr>
        <w:t>s</w:t>
      </w:r>
      <w:r w:rsidRPr="0034613C">
        <w:rPr>
          <w:rFonts w:ascii="Times New Roman" w:hAnsi="Times New Roman"/>
          <w:bCs/>
          <w:sz w:val="24"/>
          <w:szCs w:val="24"/>
          <w:lang w:val="en"/>
        </w:rPr>
        <w:t xml:space="preserve">-old, taken with sampling cluster techniques. Chronic energy </w:t>
      </w:r>
      <w:r w:rsidRPr="0034613C">
        <w:rPr>
          <w:rFonts w:ascii="Times New Roman" w:hAnsi="Times New Roman"/>
          <w:bCs/>
          <w:sz w:val="24"/>
          <w:szCs w:val="24"/>
        </w:rPr>
        <w:t>malnutrition</w:t>
      </w:r>
      <w:r w:rsidRPr="0034613C">
        <w:rPr>
          <w:rFonts w:ascii="Times New Roman" w:hAnsi="Times New Roman"/>
          <w:bCs/>
          <w:sz w:val="24"/>
          <w:szCs w:val="24"/>
          <w:lang w:val="en"/>
        </w:rPr>
        <w:t xml:space="preserve"> data were assessed by measurement of </w:t>
      </w:r>
      <w:r w:rsidRPr="0034613C">
        <w:rPr>
          <w:rFonts w:ascii="Times New Roman" w:hAnsi="Times New Roman"/>
          <w:bCs/>
          <w:sz w:val="24"/>
          <w:szCs w:val="24"/>
        </w:rPr>
        <w:t>mid-</w:t>
      </w:r>
      <w:r w:rsidRPr="0034613C">
        <w:rPr>
          <w:rFonts w:ascii="Times New Roman" w:hAnsi="Times New Roman"/>
          <w:bCs/>
          <w:sz w:val="24"/>
          <w:szCs w:val="24"/>
          <w:lang w:val="en"/>
        </w:rPr>
        <w:t xml:space="preserve">arm circumference, iron intake was obtained through 2x24h food recall, </w:t>
      </w:r>
      <w:r w:rsidRPr="0034613C">
        <w:rPr>
          <w:rFonts w:ascii="Times New Roman" w:hAnsi="Times New Roman"/>
          <w:bCs/>
          <w:sz w:val="24"/>
          <w:szCs w:val="24"/>
        </w:rPr>
        <w:t xml:space="preserve">and </w:t>
      </w:r>
      <w:r w:rsidRPr="0034613C">
        <w:rPr>
          <w:rFonts w:ascii="Times New Roman" w:hAnsi="Times New Roman"/>
          <w:bCs/>
          <w:sz w:val="24"/>
          <w:szCs w:val="24"/>
          <w:lang w:val="en"/>
        </w:rPr>
        <w:t xml:space="preserve">anemia by measuring </w:t>
      </w:r>
      <w:r w:rsidRPr="0034613C">
        <w:rPr>
          <w:rFonts w:ascii="Times New Roman" w:hAnsi="Times New Roman"/>
          <w:bCs/>
          <w:sz w:val="24"/>
          <w:szCs w:val="24"/>
        </w:rPr>
        <w:t>haemoglobin</w:t>
      </w:r>
      <w:r w:rsidRPr="0034613C">
        <w:rPr>
          <w:rFonts w:ascii="Times New Roman" w:hAnsi="Times New Roman"/>
          <w:bCs/>
          <w:sz w:val="24"/>
          <w:szCs w:val="24"/>
          <w:lang w:val="en"/>
        </w:rPr>
        <w:t xml:space="preserve"> levels through blood tests. Data were analyzed using chi square test and fisher exact test.</w:t>
      </w:r>
      <w:r w:rsidR="007C2EBB">
        <w:rPr>
          <w:rFonts w:ascii="Times New Roman" w:hAnsi="Times New Roman"/>
          <w:bCs/>
          <w:sz w:val="24"/>
          <w:szCs w:val="24"/>
        </w:rPr>
        <w:t xml:space="preserve"> </w:t>
      </w:r>
      <w:r w:rsidRPr="0034613C">
        <w:rPr>
          <w:rFonts w:ascii="Times New Roman" w:hAnsi="Times New Roman"/>
          <w:sz w:val="24"/>
          <w:szCs w:val="24"/>
          <w:lang w:val="en"/>
        </w:rPr>
        <w:t xml:space="preserve">The results showed that26.8% of respondents suffered from anemia, </w:t>
      </w:r>
      <w:r>
        <w:rPr>
          <w:rFonts w:ascii="Times New Roman" w:hAnsi="Times New Roman"/>
          <w:sz w:val="24"/>
          <w:szCs w:val="24"/>
        </w:rPr>
        <w:t xml:space="preserve">44,3% </w:t>
      </w:r>
      <w:r w:rsidRPr="0034613C">
        <w:rPr>
          <w:rFonts w:ascii="Times New Roman" w:hAnsi="Times New Roman"/>
          <w:sz w:val="24"/>
          <w:szCs w:val="24"/>
          <w:lang w:val="en"/>
        </w:rPr>
        <w:t xml:space="preserve">chronic energy </w:t>
      </w:r>
      <w:r>
        <w:rPr>
          <w:rFonts w:ascii="Times New Roman" w:hAnsi="Times New Roman"/>
          <w:sz w:val="24"/>
          <w:szCs w:val="24"/>
        </w:rPr>
        <w:t>malnutrition</w:t>
      </w:r>
      <w:r w:rsidRPr="0034613C">
        <w:rPr>
          <w:rFonts w:ascii="Times New Roman" w:hAnsi="Times New Roman"/>
          <w:sz w:val="24"/>
          <w:szCs w:val="24"/>
          <w:lang w:val="en"/>
        </w:rPr>
        <w:t xml:space="preserve">, and </w:t>
      </w:r>
      <w:r>
        <w:rPr>
          <w:rFonts w:ascii="Times New Roman" w:hAnsi="Times New Roman"/>
          <w:sz w:val="24"/>
          <w:szCs w:val="24"/>
        </w:rPr>
        <w:t xml:space="preserve">95,7% </w:t>
      </w:r>
      <w:r>
        <w:rPr>
          <w:rFonts w:ascii="Times New Roman" w:hAnsi="Times New Roman"/>
          <w:sz w:val="24"/>
          <w:szCs w:val="24"/>
          <w:lang w:val="en"/>
        </w:rPr>
        <w:t xml:space="preserve">less iron. </w:t>
      </w:r>
      <w:r w:rsidRPr="0034613C">
        <w:rPr>
          <w:rFonts w:ascii="Times New Roman" w:hAnsi="Times New Roman"/>
          <w:sz w:val="24"/>
          <w:szCs w:val="24"/>
          <w:lang w:val="en"/>
        </w:rPr>
        <w:t>The results</w:t>
      </w:r>
      <w:r>
        <w:rPr>
          <w:rFonts w:ascii="Times New Roman" w:hAnsi="Times New Roman"/>
          <w:sz w:val="24"/>
          <w:szCs w:val="24"/>
          <w:lang w:val="en"/>
        </w:rPr>
        <w:t xml:space="preserve"> showed that chronic energy malnutrition</w:t>
      </w:r>
      <w:r>
        <w:rPr>
          <w:rFonts w:ascii="Times New Roman" w:hAnsi="Times New Roman"/>
          <w:sz w:val="24"/>
          <w:szCs w:val="24"/>
        </w:rPr>
        <w:t>has</w:t>
      </w:r>
      <w:r>
        <w:rPr>
          <w:rFonts w:ascii="Times New Roman" w:hAnsi="Times New Roman"/>
          <w:sz w:val="24"/>
          <w:szCs w:val="24"/>
          <w:lang w:val="en"/>
        </w:rPr>
        <w:t xml:space="preserve"> significant correlation</w:t>
      </w:r>
      <w:r w:rsidRPr="0034613C">
        <w:rPr>
          <w:rFonts w:ascii="Times New Roman" w:hAnsi="Times New Roman"/>
          <w:sz w:val="24"/>
          <w:szCs w:val="24"/>
          <w:lang w:val="en"/>
        </w:rPr>
        <w:t xml:space="preserve"> (p = 0.02) with anemia, and iron intake </w:t>
      </w:r>
      <w:r>
        <w:rPr>
          <w:rFonts w:ascii="Times New Roman" w:hAnsi="Times New Roman"/>
          <w:sz w:val="24"/>
          <w:szCs w:val="24"/>
        </w:rPr>
        <w:t>have no correlation</w:t>
      </w:r>
      <w:r w:rsidRPr="0034613C">
        <w:rPr>
          <w:rFonts w:ascii="Times New Roman" w:hAnsi="Times New Roman"/>
          <w:sz w:val="24"/>
          <w:szCs w:val="24"/>
          <w:lang w:val="en"/>
        </w:rPr>
        <w:t xml:space="preserve"> (p = 0.53) with anemia. Respondents with chronic energy </w:t>
      </w:r>
      <w:r>
        <w:rPr>
          <w:rFonts w:ascii="Times New Roman" w:hAnsi="Times New Roman"/>
          <w:sz w:val="24"/>
          <w:szCs w:val="24"/>
        </w:rPr>
        <w:t>malnutrition</w:t>
      </w:r>
      <w:r w:rsidRPr="0034613C">
        <w:rPr>
          <w:rFonts w:ascii="Times New Roman" w:hAnsi="Times New Roman"/>
          <w:sz w:val="24"/>
          <w:szCs w:val="24"/>
          <w:lang w:val="en"/>
        </w:rPr>
        <w:t xml:space="preserve"> were 2.3 times more likely to </w:t>
      </w:r>
      <w:r>
        <w:rPr>
          <w:rFonts w:ascii="Times New Roman" w:hAnsi="Times New Roman"/>
          <w:sz w:val="24"/>
          <w:szCs w:val="24"/>
        </w:rPr>
        <w:t>have</w:t>
      </w:r>
      <w:r w:rsidRPr="0034613C">
        <w:rPr>
          <w:rFonts w:ascii="Times New Roman" w:hAnsi="Times New Roman"/>
          <w:sz w:val="24"/>
          <w:szCs w:val="24"/>
          <w:lang w:val="en"/>
        </w:rPr>
        <w:t xml:space="preserve"> anemia than those without chronic energy</w:t>
      </w:r>
      <w:r>
        <w:rPr>
          <w:rFonts w:ascii="Times New Roman" w:hAnsi="Times New Roman"/>
          <w:sz w:val="24"/>
          <w:szCs w:val="24"/>
        </w:rPr>
        <w:t xml:space="preserve"> malnutrition</w:t>
      </w:r>
      <w:r w:rsidRPr="0034613C">
        <w:rPr>
          <w:rFonts w:ascii="Times New Roman" w:hAnsi="Times New Roman"/>
          <w:sz w:val="24"/>
          <w:szCs w:val="24"/>
          <w:lang w:val="en"/>
        </w:rPr>
        <w:t>.</w:t>
      </w:r>
      <w:r w:rsidR="007C2EBB">
        <w:rPr>
          <w:rFonts w:ascii="Times New Roman" w:hAnsi="Times New Roman"/>
          <w:sz w:val="24"/>
          <w:szCs w:val="24"/>
        </w:rPr>
        <w:t xml:space="preserve"> </w:t>
      </w:r>
      <w:r w:rsidRPr="0034613C">
        <w:rPr>
          <w:rFonts w:ascii="Times New Roman" w:hAnsi="Times New Roman"/>
          <w:sz w:val="24"/>
          <w:szCs w:val="24"/>
          <w:lang w:val="en"/>
        </w:rPr>
        <w:t>Conclusions: There was a significant relationship between chronic energy</w:t>
      </w:r>
      <w:r>
        <w:rPr>
          <w:rFonts w:ascii="Times New Roman" w:hAnsi="Times New Roman"/>
          <w:sz w:val="24"/>
          <w:szCs w:val="24"/>
        </w:rPr>
        <w:t xml:space="preserve"> malnutritionwith</w:t>
      </w:r>
      <w:r>
        <w:rPr>
          <w:rFonts w:ascii="Times New Roman" w:hAnsi="Times New Roman"/>
          <w:sz w:val="24"/>
          <w:szCs w:val="24"/>
          <w:lang w:val="en"/>
        </w:rPr>
        <w:t xml:space="preserve"> anemia in pre</w:t>
      </w:r>
      <w:r w:rsidRPr="0034613C">
        <w:rPr>
          <w:rFonts w:ascii="Times New Roman" w:hAnsi="Times New Roman"/>
          <w:sz w:val="24"/>
          <w:szCs w:val="24"/>
          <w:lang w:val="en"/>
        </w:rPr>
        <w:t xml:space="preserve">conception </w:t>
      </w:r>
      <w:r w:rsidRPr="0034613C">
        <w:rPr>
          <w:rFonts w:ascii="Times New Roman" w:hAnsi="Times New Roman"/>
          <w:bCs/>
          <w:sz w:val="24"/>
          <w:szCs w:val="24"/>
        </w:rPr>
        <w:t>women of childbearing age</w:t>
      </w:r>
      <w:r w:rsidRPr="0034613C">
        <w:rPr>
          <w:rFonts w:ascii="Times New Roman" w:hAnsi="Times New Roman"/>
          <w:bCs/>
          <w:sz w:val="24"/>
          <w:szCs w:val="24"/>
          <w:lang w:val="en"/>
        </w:rPr>
        <w:t xml:space="preserve">in </w:t>
      </w:r>
      <w:r w:rsidRPr="0034613C">
        <w:rPr>
          <w:rFonts w:ascii="Times New Roman" w:hAnsi="Times New Roman"/>
          <w:bCs/>
          <w:sz w:val="24"/>
          <w:szCs w:val="24"/>
        </w:rPr>
        <w:t>Terbanggi Besar subdistrictdistrict of C</w:t>
      </w:r>
      <w:proofErr w:type="spellStart"/>
      <w:r w:rsidRPr="0034613C">
        <w:rPr>
          <w:rFonts w:ascii="Times New Roman" w:hAnsi="Times New Roman"/>
          <w:bCs/>
          <w:sz w:val="24"/>
          <w:szCs w:val="24"/>
          <w:lang w:val="en"/>
        </w:rPr>
        <w:t>entral</w:t>
      </w:r>
      <w:proofErr w:type="spellEnd"/>
      <w:r w:rsidRPr="0034613C">
        <w:rPr>
          <w:rFonts w:ascii="Times New Roman" w:hAnsi="Times New Roman"/>
          <w:bCs/>
          <w:sz w:val="24"/>
          <w:szCs w:val="24"/>
          <w:lang w:val="en"/>
        </w:rPr>
        <w:t xml:space="preserve"> Lampung</w:t>
      </w:r>
      <w:r>
        <w:rPr>
          <w:rFonts w:ascii="Times New Roman" w:hAnsi="Times New Roman"/>
          <w:bCs/>
          <w:sz w:val="24"/>
          <w:szCs w:val="24"/>
        </w:rPr>
        <w:t>.</w:t>
      </w:r>
    </w:p>
    <w:p w:rsidR="0026395D" w:rsidRDefault="0026395D" w:rsidP="0026395D">
      <w:pPr>
        <w:spacing w:line="360" w:lineRule="auto"/>
        <w:ind w:left="567"/>
        <w:jc w:val="both"/>
        <w:rPr>
          <w:rFonts w:ascii="Times New Roman" w:hAnsi="Times New Roman"/>
          <w:b/>
          <w:bCs/>
          <w:sz w:val="24"/>
          <w:szCs w:val="24"/>
          <w:lang w:val="en"/>
        </w:rPr>
      </w:pPr>
      <w:r w:rsidRPr="00A63A01">
        <w:rPr>
          <w:rFonts w:ascii="Times New Roman" w:hAnsi="Times New Roman"/>
          <w:b/>
          <w:bCs/>
          <w:sz w:val="24"/>
          <w:szCs w:val="24"/>
        </w:rPr>
        <w:t xml:space="preserve">Keywords : </w:t>
      </w:r>
      <w:r w:rsidRPr="00A63A01">
        <w:rPr>
          <w:rFonts w:ascii="Times New Roman" w:hAnsi="Times New Roman"/>
          <w:b/>
          <w:bCs/>
          <w:sz w:val="24"/>
          <w:szCs w:val="24"/>
          <w:lang w:val="en"/>
        </w:rPr>
        <w:t>Anemia, chronic energy</w:t>
      </w:r>
      <w:r w:rsidRPr="00A63A01">
        <w:rPr>
          <w:rFonts w:ascii="Times New Roman" w:hAnsi="Times New Roman"/>
          <w:b/>
          <w:bCs/>
          <w:sz w:val="24"/>
          <w:szCs w:val="24"/>
        </w:rPr>
        <w:t xml:space="preserve"> malnutrition</w:t>
      </w:r>
      <w:r w:rsidRPr="00A63A01">
        <w:rPr>
          <w:rFonts w:ascii="Times New Roman" w:hAnsi="Times New Roman"/>
          <w:b/>
          <w:bCs/>
          <w:sz w:val="24"/>
          <w:szCs w:val="24"/>
          <w:lang w:val="en"/>
        </w:rPr>
        <w:t>, iron intake, women of childbearing age preconceptions</w:t>
      </w:r>
    </w:p>
    <w:p w:rsidR="00A63A01" w:rsidRPr="00A63A01" w:rsidRDefault="00A63A01" w:rsidP="00A63A01">
      <w:pPr>
        <w:pStyle w:val="Body"/>
        <w:spacing w:line="480" w:lineRule="auto"/>
        <w:ind w:firstLine="0"/>
        <w:rPr>
          <w:b/>
          <w:bCs/>
          <w:szCs w:val="24"/>
          <w:lang w:val="id-ID"/>
        </w:rPr>
      </w:pPr>
      <w:r w:rsidRPr="001B29B3">
        <w:rPr>
          <w:b/>
        </w:rPr>
        <w:t xml:space="preserve">Corresponding Author: </w:t>
      </w:r>
      <w:r>
        <w:rPr>
          <w:b/>
          <w:lang w:val="id-ID"/>
        </w:rPr>
        <w:t>Dian Isti Angraini</w:t>
      </w:r>
      <w:r w:rsidRPr="001B29B3">
        <w:rPr>
          <w:b/>
          <w:lang w:val="id-ID"/>
        </w:rPr>
        <w:t xml:space="preserve">, </w:t>
      </w:r>
      <w:r w:rsidRPr="001B29B3">
        <w:rPr>
          <w:b/>
        </w:rPr>
        <w:t xml:space="preserve">E-mail: </w:t>
      </w:r>
      <w:r>
        <w:rPr>
          <w:b/>
          <w:lang w:val="id-ID"/>
        </w:rPr>
        <w:t>riditie@gmail.com</w:t>
      </w:r>
    </w:p>
    <w:p w:rsidR="0026395D" w:rsidRDefault="0026395D" w:rsidP="0026395D">
      <w:pPr>
        <w:spacing w:line="360" w:lineRule="auto"/>
        <w:ind w:left="567"/>
        <w:jc w:val="both"/>
        <w:rPr>
          <w:sz w:val="32"/>
          <w:szCs w:val="32"/>
        </w:rPr>
      </w:pPr>
    </w:p>
    <w:p w:rsidR="00FF29C9" w:rsidRPr="00B46CB1" w:rsidRDefault="00B46CB1" w:rsidP="00B46CB1">
      <w:pPr>
        <w:spacing w:line="360" w:lineRule="auto"/>
        <w:rPr>
          <w:rFonts w:ascii="Times New Roman" w:hAnsi="Times New Roman"/>
          <w:b/>
          <w:sz w:val="24"/>
          <w:szCs w:val="24"/>
          <w:lang w:val="en-US"/>
        </w:rPr>
      </w:pPr>
      <w:r>
        <w:rPr>
          <w:rFonts w:ascii="Times New Roman" w:hAnsi="Times New Roman"/>
          <w:b/>
          <w:sz w:val="24"/>
          <w:szCs w:val="24"/>
        </w:rPr>
        <w:lastRenderedPageBreak/>
        <w:t xml:space="preserve">1. </w:t>
      </w:r>
      <w:r w:rsidRPr="00B46CB1">
        <w:rPr>
          <w:rFonts w:ascii="Times New Roman" w:hAnsi="Times New Roman"/>
          <w:b/>
          <w:sz w:val="24"/>
          <w:szCs w:val="24"/>
          <w:lang w:val="en-US"/>
        </w:rPr>
        <w:t>Introduction</w:t>
      </w:r>
    </w:p>
    <w:p w:rsidR="00FF29C9" w:rsidRPr="00B46CB1" w:rsidRDefault="00B46CB1" w:rsidP="00C5236D">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 xml:space="preserve">World Health Organization </w:t>
      </w:r>
      <w:r w:rsidR="000611EB">
        <w:rPr>
          <w:rFonts w:ascii="Times New Roman" w:hAnsi="Times New Roman"/>
          <w:sz w:val="24"/>
          <w:szCs w:val="24"/>
        </w:rPr>
        <w:t xml:space="preserve">(WHO) </w:t>
      </w:r>
      <w:r w:rsidR="00FF29C9" w:rsidRPr="00B46CB1">
        <w:rPr>
          <w:rFonts w:ascii="Times New Roman" w:hAnsi="Times New Roman"/>
          <w:sz w:val="24"/>
          <w:szCs w:val="24"/>
          <w:lang w:val="en-US"/>
        </w:rPr>
        <w:t xml:space="preserve">defines </w:t>
      </w:r>
      <w:r w:rsidR="00644DC4">
        <w:rPr>
          <w:rFonts w:ascii="Times New Roman" w:hAnsi="Times New Roman"/>
          <w:sz w:val="24"/>
          <w:szCs w:val="24"/>
          <w:lang w:val="en-US"/>
        </w:rPr>
        <w:t>anemia</w:t>
      </w:r>
      <w:r w:rsidR="00FF29C9" w:rsidRPr="00B46CB1">
        <w:rPr>
          <w:rFonts w:ascii="Times New Roman" w:hAnsi="Times New Roman"/>
          <w:sz w:val="24"/>
          <w:szCs w:val="24"/>
          <w:lang w:val="en-US"/>
        </w:rPr>
        <w:t xml:space="preserve"> as a condition where an individual suffer</w:t>
      </w:r>
      <w:r w:rsidR="00196094" w:rsidRPr="00B46CB1">
        <w:rPr>
          <w:rFonts w:ascii="Times New Roman" w:hAnsi="Times New Roman"/>
          <w:sz w:val="24"/>
          <w:szCs w:val="24"/>
          <w:lang w:val="en-US"/>
        </w:rPr>
        <w:t>s</w:t>
      </w:r>
      <w:r w:rsidR="00FF29C9" w:rsidRPr="00B46CB1">
        <w:rPr>
          <w:rFonts w:ascii="Times New Roman" w:hAnsi="Times New Roman"/>
          <w:sz w:val="24"/>
          <w:szCs w:val="24"/>
          <w:lang w:val="en-US"/>
        </w:rPr>
        <w:t xml:space="preserve"> a decrease of </w:t>
      </w:r>
      <w:proofErr w:type="spellStart"/>
      <w:r w:rsidR="00FF29C9" w:rsidRPr="00B46CB1">
        <w:rPr>
          <w:rFonts w:ascii="Times New Roman" w:hAnsi="Times New Roman"/>
          <w:sz w:val="24"/>
          <w:szCs w:val="24"/>
          <w:lang w:val="en-US"/>
        </w:rPr>
        <w:t>haemoglobin</w:t>
      </w:r>
      <w:proofErr w:type="spellEnd"/>
      <w:r w:rsidR="00FF29C9" w:rsidRPr="00B46CB1">
        <w:rPr>
          <w:rFonts w:ascii="Times New Roman" w:hAnsi="Times New Roman"/>
          <w:sz w:val="24"/>
          <w:szCs w:val="24"/>
          <w:lang w:val="en-US"/>
        </w:rPr>
        <w:t xml:space="preserve"> (</w:t>
      </w:r>
      <w:proofErr w:type="spellStart"/>
      <w:r w:rsidR="00FF29C9" w:rsidRPr="00B46CB1">
        <w:rPr>
          <w:rFonts w:ascii="Times New Roman" w:hAnsi="Times New Roman"/>
          <w:sz w:val="24"/>
          <w:szCs w:val="24"/>
          <w:lang w:val="en-US"/>
        </w:rPr>
        <w:t>Hb</w:t>
      </w:r>
      <w:proofErr w:type="spellEnd"/>
      <w:r w:rsidR="00FF29C9" w:rsidRPr="00B46CB1">
        <w:rPr>
          <w:rFonts w:ascii="Times New Roman" w:hAnsi="Times New Roman"/>
          <w:sz w:val="24"/>
          <w:szCs w:val="24"/>
          <w:lang w:val="en-US"/>
        </w:rPr>
        <w:t xml:space="preserve">) and </w:t>
      </w:r>
      <w:proofErr w:type="spellStart"/>
      <w:r w:rsidR="00FF29C9" w:rsidRPr="00B46CB1">
        <w:rPr>
          <w:rFonts w:ascii="Times New Roman" w:hAnsi="Times New Roman"/>
          <w:sz w:val="24"/>
          <w:szCs w:val="24"/>
          <w:lang w:val="en-US"/>
        </w:rPr>
        <w:t>haematocrit</w:t>
      </w:r>
      <w:proofErr w:type="spellEnd"/>
      <w:r w:rsidR="00FF29C9" w:rsidRPr="00B46CB1">
        <w:rPr>
          <w:rFonts w:ascii="Times New Roman" w:hAnsi="Times New Roman"/>
          <w:sz w:val="24"/>
          <w:szCs w:val="24"/>
          <w:lang w:val="en-US"/>
        </w:rPr>
        <w:t xml:space="preserve"> (</w:t>
      </w:r>
      <w:proofErr w:type="spellStart"/>
      <w:r w:rsidR="00FF29C9" w:rsidRPr="00B46CB1">
        <w:rPr>
          <w:rFonts w:ascii="Times New Roman" w:hAnsi="Times New Roman"/>
          <w:sz w:val="24"/>
          <w:szCs w:val="24"/>
          <w:lang w:val="en-US"/>
        </w:rPr>
        <w:t>Ht</w:t>
      </w:r>
      <w:proofErr w:type="spellEnd"/>
      <w:r w:rsidR="00FF29C9" w:rsidRPr="00B46CB1">
        <w:rPr>
          <w:rFonts w:ascii="Times New Roman" w:hAnsi="Times New Roman"/>
          <w:sz w:val="24"/>
          <w:szCs w:val="24"/>
          <w:lang w:val="en-US"/>
        </w:rPr>
        <w:t xml:space="preserve">) concentration as well as the number of red blood cells to </w:t>
      </w:r>
      <w:r w:rsidR="005F6090" w:rsidRPr="00B46CB1">
        <w:rPr>
          <w:rFonts w:ascii="Times New Roman" w:hAnsi="Times New Roman"/>
          <w:sz w:val="24"/>
          <w:szCs w:val="24"/>
          <w:lang w:val="en-US"/>
        </w:rPr>
        <w:t xml:space="preserve">below the normal level of the </w:t>
      </w:r>
      <w:r w:rsidR="00DF6F5F" w:rsidRPr="00B46CB1">
        <w:rPr>
          <w:rFonts w:ascii="Times New Roman" w:hAnsi="Times New Roman"/>
          <w:sz w:val="24"/>
          <w:szCs w:val="24"/>
          <w:lang w:val="en-US"/>
        </w:rPr>
        <w:t>cut</w:t>
      </w:r>
      <w:r w:rsidR="00DF6F5F" w:rsidRPr="00B46CB1">
        <w:rPr>
          <w:rFonts w:ascii="Times New Roman" w:hAnsi="Times New Roman"/>
          <w:sz w:val="24"/>
          <w:szCs w:val="24"/>
        </w:rPr>
        <w:t>-</w:t>
      </w:r>
      <w:r w:rsidR="005F6090" w:rsidRPr="00B46CB1">
        <w:rPr>
          <w:rFonts w:ascii="Times New Roman" w:hAnsi="Times New Roman"/>
          <w:sz w:val="24"/>
          <w:szCs w:val="24"/>
          <w:lang w:val="en-US"/>
        </w:rPr>
        <w:t>off point by age and gender</w:t>
      </w:r>
      <w:r w:rsidR="000611EB">
        <w:rPr>
          <w:rFonts w:ascii="Times New Roman" w:hAnsi="Times New Roman"/>
          <w:sz w:val="24"/>
          <w:szCs w:val="24"/>
        </w:rPr>
        <w:t xml:space="preserve"> [1]</w:t>
      </w:r>
      <w:r w:rsidR="00FF29C9" w:rsidRPr="00B46CB1">
        <w:rPr>
          <w:rFonts w:ascii="Times New Roman" w:hAnsi="Times New Roman"/>
          <w:sz w:val="24"/>
          <w:szCs w:val="24"/>
          <w:lang w:val="en-US"/>
        </w:rPr>
        <w:t xml:space="preserve">. </w:t>
      </w:r>
      <w:r w:rsidR="00644DC4">
        <w:rPr>
          <w:rFonts w:ascii="Times New Roman" w:hAnsi="Times New Roman"/>
          <w:sz w:val="24"/>
          <w:szCs w:val="24"/>
          <w:lang w:val="en-US"/>
        </w:rPr>
        <w:t>Anemia</w:t>
      </w:r>
      <w:r w:rsidR="00B631DF" w:rsidRPr="00B46CB1">
        <w:rPr>
          <w:rFonts w:ascii="Times New Roman" w:hAnsi="Times New Roman"/>
          <w:sz w:val="24"/>
          <w:szCs w:val="24"/>
          <w:lang w:val="en-US"/>
        </w:rPr>
        <w:t xml:space="preserve"> is a symptom caused </w:t>
      </w:r>
      <w:r w:rsidR="00B631DF" w:rsidRPr="00B46CB1">
        <w:rPr>
          <w:rFonts w:ascii="Times New Roman" w:hAnsi="Times New Roman"/>
          <w:sz w:val="24"/>
          <w:szCs w:val="24"/>
        </w:rPr>
        <w:t xml:space="preserve">either </w:t>
      </w:r>
      <w:r w:rsidR="00B631DF" w:rsidRPr="00B46CB1">
        <w:rPr>
          <w:rFonts w:ascii="Times New Roman" w:hAnsi="Times New Roman"/>
          <w:sz w:val="24"/>
          <w:szCs w:val="24"/>
          <w:lang w:val="en-US"/>
        </w:rPr>
        <w:t xml:space="preserve">by </w:t>
      </w:r>
      <w:r w:rsidR="00FF29C9" w:rsidRPr="00B46CB1">
        <w:rPr>
          <w:rFonts w:ascii="Times New Roman" w:hAnsi="Times New Roman"/>
          <w:sz w:val="24"/>
          <w:szCs w:val="24"/>
          <w:lang w:val="en-US"/>
        </w:rPr>
        <w:t xml:space="preserve">blood loss, the decreased production of </w:t>
      </w:r>
      <w:r w:rsidR="00AA3C84" w:rsidRPr="00B46CB1">
        <w:rPr>
          <w:rFonts w:ascii="Times New Roman" w:hAnsi="Times New Roman"/>
          <w:sz w:val="24"/>
          <w:szCs w:val="24"/>
          <w:lang w:val="en-US"/>
        </w:rPr>
        <w:t>erythrocytes</w:t>
      </w:r>
      <w:r w:rsidR="00FF29C9" w:rsidRPr="00B46CB1">
        <w:rPr>
          <w:rFonts w:ascii="Times New Roman" w:hAnsi="Times New Roman"/>
          <w:sz w:val="24"/>
          <w:szCs w:val="24"/>
          <w:lang w:val="en-US"/>
        </w:rPr>
        <w:t xml:space="preserve">, the increased destruction of </w:t>
      </w:r>
      <w:r w:rsidR="00AA3C84" w:rsidRPr="00B46CB1">
        <w:rPr>
          <w:rFonts w:ascii="Times New Roman" w:hAnsi="Times New Roman"/>
          <w:sz w:val="24"/>
          <w:szCs w:val="24"/>
          <w:lang w:val="en-US"/>
        </w:rPr>
        <w:t>erythrocytes</w:t>
      </w:r>
      <w:r w:rsidR="00FF29C9" w:rsidRPr="00B46CB1">
        <w:rPr>
          <w:rFonts w:ascii="Times New Roman" w:hAnsi="Times New Roman"/>
          <w:sz w:val="24"/>
          <w:szCs w:val="24"/>
          <w:lang w:val="en-US"/>
        </w:rPr>
        <w:t xml:space="preserve"> or the combination of all </w:t>
      </w:r>
      <w:r>
        <w:rPr>
          <w:rFonts w:ascii="Times New Roman" w:hAnsi="Times New Roman"/>
          <w:sz w:val="24"/>
          <w:szCs w:val="24"/>
          <w:lang w:val="en-US"/>
        </w:rPr>
        <w:t xml:space="preserve">three mechanisms </w:t>
      </w:r>
      <w:r>
        <w:rPr>
          <w:rFonts w:ascii="Times New Roman" w:hAnsi="Times New Roman"/>
          <w:sz w:val="24"/>
          <w:szCs w:val="24"/>
        </w:rPr>
        <w:t>[2]</w:t>
      </w:r>
      <w:r w:rsidR="00FF29C9" w:rsidRPr="00B46CB1">
        <w:rPr>
          <w:rFonts w:ascii="Times New Roman" w:hAnsi="Times New Roman"/>
          <w:sz w:val="24"/>
          <w:szCs w:val="24"/>
          <w:lang w:val="en-US"/>
        </w:rPr>
        <w:t>.</w:t>
      </w:r>
    </w:p>
    <w:p w:rsidR="00FF29C9" w:rsidRPr="00B46CB1" w:rsidRDefault="00644DC4" w:rsidP="00C5236D">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Anemia</w:t>
      </w:r>
      <w:r w:rsidR="00FF29C9" w:rsidRPr="00B46CB1">
        <w:rPr>
          <w:rFonts w:ascii="Times New Roman" w:hAnsi="Times New Roman"/>
          <w:sz w:val="24"/>
          <w:szCs w:val="24"/>
          <w:lang w:val="en-US"/>
        </w:rPr>
        <w:t xml:space="preserve"> is more prevalent in women than men as it is reported that Women of Childbearing Age (WCA) suffering from </w:t>
      </w:r>
      <w:r>
        <w:rPr>
          <w:rFonts w:ascii="Times New Roman" w:hAnsi="Times New Roman"/>
          <w:sz w:val="24"/>
          <w:szCs w:val="24"/>
          <w:lang w:val="en-US"/>
        </w:rPr>
        <w:t>anemia</w:t>
      </w:r>
      <w:r w:rsidR="00FF29C9" w:rsidRPr="00B46CB1">
        <w:rPr>
          <w:rFonts w:ascii="Times New Roman" w:hAnsi="Times New Roman"/>
          <w:sz w:val="24"/>
          <w:szCs w:val="24"/>
          <w:lang w:val="en-US"/>
        </w:rPr>
        <w:t xml:space="preserve"> reaches 45.7% in Southeast Asia. In Indonesia, the WCA affected by </w:t>
      </w:r>
      <w:r>
        <w:rPr>
          <w:rFonts w:ascii="Times New Roman" w:hAnsi="Times New Roman"/>
          <w:sz w:val="24"/>
          <w:szCs w:val="24"/>
          <w:lang w:val="en-US"/>
        </w:rPr>
        <w:t>anemia</w:t>
      </w:r>
      <w:r w:rsidR="00F3320B">
        <w:rPr>
          <w:rFonts w:ascii="Times New Roman" w:hAnsi="Times New Roman"/>
          <w:sz w:val="24"/>
          <w:szCs w:val="24"/>
          <w:lang w:val="en-US"/>
        </w:rPr>
        <w:t xml:space="preserve"> reached 33.1% on</w:t>
      </w:r>
      <w:r w:rsidR="00FF29C9" w:rsidRPr="00B46CB1">
        <w:rPr>
          <w:rFonts w:ascii="Times New Roman" w:hAnsi="Times New Roman"/>
          <w:sz w:val="24"/>
          <w:szCs w:val="24"/>
          <w:lang w:val="en-US"/>
        </w:rPr>
        <w:t xml:space="preserve"> 1993-2005</w:t>
      </w:r>
      <w:r w:rsidR="000611EB">
        <w:rPr>
          <w:rFonts w:ascii="Times New Roman" w:hAnsi="Times New Roman"/>
          <w:sz w:val="24"/>
          <w:szCs w:val="24"/>
        </w:rPr>
        <w:t xml:space="preserve"> [1]</w:t>
      </w:r>
      <w:r w:rsidR="00FF29C9" w:rsidRPr="00B46CB1">
        <w:rPr>
          <w:rFonts w:ascii="Times New Roman" w:hAnsi="Times New Roman"/>
          <w:sz w:val="24"/>
          <w:szCs w:val="24"/>
          <w:lang w:val="en-US"/>
        </w:rPr>
        <w:t>. In addition, Indonesia’s Health Profile reported that the prevalence in WCA in Lampung provi</w:t>
      </w:r>
      <w:r w:rsidR="00B46CB1">
        <w:rPr>
          <w:rFonts w:ascii="Times New Roman" w:hAnsi="Times New Roman"/>
          <w:sz w:val="24"/>
          <w:szCs w:val="24"/>
          <w:lang w:val="en-US"/>
        </w:rPr>
        <w:t xml:space="preserve">nce reached 25.9% </w:t>
      </w:r>
      <w:r w:rsidR="00B46CB1">
        <w:rPr>
          <w:rFonts w:ascii="Times New Roman" w:hAnsi="Times New Roman"/>
          <w:sz w:val="24"/>
          <w:szCs w:val="24"/>
        </w:rPr>
        <w:t>[3]</w:t>
      </w:r>
      <w:r w:rsidR="00FF29C9" w:rsidRPr="00B46CB1">
        <w:rPr>
          <w:rFonts w:ascii="Times New Roman" w:hAnsi="Times New Roman"/>
          <w:sz w:val="24"/>
          <w:szCs w:val="24"/>
          <w:lang w:val="en-US"/>
        </w:rPr>
        <w:t>.</w:t>
      </w:r>
    </w:p>
    <w:p w:rsidR="00FF29C9" w:rsidRPr="00B46CB1" w:rsidRDefault="00FF29C9"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t xml:space="preserve">Women of Childbearing Age are the most susceptible to iron-deficiency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an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caused by the blood loss during menstruation. The anemic condition of the WCA often continues when they are pregnant that can increase the risks of complication on pregnancy and birth delivery such </w:t>
      </w:r>
      <w:r w:rsidR="00010BFD" w:rsidRPr="00B46CB1">
        <w:rPr>
          <w:rFonts w:ascii="Times New Roman" w:hAnsi="Times New Roman"/>
          <w:sz w:val="24"/>
          <w:szCs w:val="24"/>
          <w:lang w:val="en-US"/>
        </w:rPr>
        <w:t>as maternal mortality, preterm</w:t>
      </w:r>
      <w:r w:rsidRPr="00B46CB1">
        <w:rPr>
          <w:rFonts w:ascii="Times New Roman" w:hAnsi="Times New Roman"/>
          <w:sz w:val="24"/>
          <w:szCs w:val="24"/>
          <w:lang w:val="en-US"/>
        </w:rPr>
        <w:t xml:space="preserve"> delivery, low birth weight, prenatal mortality, as well as the increased risk of antepartum and po</w:t>
      </w:r>
      <w:r w:rsidR="0046145D" w:rsidRPr="00B46CB1">
        <w:rPr>
          <w:rFonts w:ascii="Times New Roman" w:hAnsi="Times New Roman"/>
          <w:sz w:val="24"/>
          <w:szCs w:val="24"/>
          <w:lang w:val="en-US"/>
        </w:rPr>
        <w:t>s</w:t>
      </w:r>
      <w:r w:rsidRPr="00B46CB1">
        <w:rPr>
          <w:rFonts w:ascii="Times New Roman" w:hAnsi="Times New Roman"/>
          <w:sz w:val="24"/>
          <w:szCs w:val="24"/>
          <w:lang w:val="en-US"/>
        </w:rPr>
        <w:t xml:space="preserve">tpartum </w:t>
      </w:r>
      <w:r w:rsidR="00B46CB1">
        <w:rPr>
          <w:rFonts w:ascii="Times New Roman" w:hAnsi="Times New Roman"/>
          <w:sz w:val="24"/>
          <w:szCs w:val="24"/>
          <w:lang w:val="en-US"/>
        </w:rPr>
        <w:t xml:space="preserve">bleeding </w:t>
      </w:r>
      <w:r w:rsidR="00B46CB1">
        <w:rPr>
          <w:rFonts w:ascii="Times New Roman" w:hAnsi="Times New Roman"/>
          <w:sz w:val="24"/>
          <w:szCs w:val="24"/>
        </w:rPr>
        <w:t>[4]</w:t>
      </w:r>
      <w:r w:rsidRPr="00B46CB1">
        <w:rPr>
          <w:rFonts w:ascii="Times New Roman" w:hAnsi="Times New Roman"/>
          <w:sz w:val="24"/>
          <w:szCs w:val="24"/>
          <w:lang w:val="en-US"/>
        </w:rPr>
        <w:t xml:space="preserve">. </w:t>
      </w:r>
    </w:p>
    <w:p w:rsidR="00FF29C9" w:rsidRPr="00187F56" w:rsidRDefault="00FF29C9" w:rsidP="00C5236D">
      <w:pPr>
        <w:spacing w:after="0" w:line="360" w:lineRule="auto"/>
        <w:ind w:firstLine="567"/>
        <w:jc w:val="both"/>
        <w:rPr>
          <w:rFonts w:ascii="Times New Roman" w:hAnsi="Times New Roman"/>
          <w:sz w:val="24"/>
          <w:szCs w:val="24"/>
        </w:rPr>
      </w:pPr>
      <w:r w:rsidRPr="00B46CB1">
        <w:rPr>
          <w:rFonts w:ascii="Times New Roman" w:hAnsi="Times New Roman"/>
          <w:sz w:val="24"/>
          <w:szCs w:val="24"/>
          <w:lang w:val="en-US"/>
        </w:rPr>
        <w:t>Women of Childbeari</w:t>
      </w:r>
      <w:bookmarkStart w:id="0" w:name="_GoBack"/>
      <w:bookmarkEnd w:id="0"/>
      <w:r w:rsidRPr="00B46CB1">
        <w:rPr>
          <w:rFonts w:ascii="Times New Roman" w:hAnsi="Times New Roman"/>
          <w:sz w:val="24"/>
          <w:szCs w:val="24"/>
          <w:lang w:val="en-US"/>
        </w:rPr>
        <w:t xml:space="preserve">ng age often suffer from a chronic energy deficiency and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is defined as a condition </w:t>
      </w:r>
      <w:r w:rsidR="00010BFD" w:rsidRPr="00B46CB1">
        <w:rPr>
          <w:rFonts w:ascii="Times New Roman" w:hAnsi="Times New Roman"/>
          <w:sz w:val="24"/>
          <w:szCs w:val="24"/>
          <w:lang w:val="en-US"/>
        </w:rPr>
        <w:t>in which</w:t>
      </w:r>
      <w:r w:rsidRPr="00B46CB1">
        <w:rPr>
          <w:rFonts w:ascii="Times New Roman" w:hAnsi="Times New Roman"/>
          <w:sz w:val="24"/>
          <w:szCs w:val="24"/>
          <w:lang w:val="en-US"/>
        </w:rPr>
        <w:t xml:space="preserve"> the </w:t>
      </w:r>
      <w:proofErr w:type="spellStart"/>
      <w:r w:rsidRPr="00B46CB1">
        <w:rPr>
          <w:rFonts w:ascii="Times New Roman" w:hAnsi="Times New Roman"/>
          <w:sz w:val="24"/>
          <w:szCs w:val="24"/>
          <w:lang w:val="en-US"/>
        </w:rPr>
        <w:t>haemoglobin</w:t>
      </w:r>
      <w:proofErr w:type="spellEnd"/>
      <w:r w:rsidRPr="00B46CB1">
        <w:rPr>
          <w:rFonts w:ascii="Times New Roman" w:hAnsi="Times New Roman"/>
          <w:sz w:val="24"/>
          <w:szCs w:val="24"/>
          <w:lang w:val="en-US"/>
        </w:rPr>
        <w:t xml:space="preserve"> concentration is below 11gr/ml. Its primary cause on women are usually d</w:t>
      </w:r>
      <w:r w:rsidR="00AA3C84" w:rsidRPr="00B46CB1">
        <w:rPr>
          <w:rFonts w:ascii="Times New Roman" w:hAnsi="Times New Roman"/>
          <w:sz w:val="24"/>
          <w:szCs w:val="24"/>
          <w:lang w:val="en-US"/>
        </w:rPr>
        <w:t>ue to the</w:t>
      </w:r>
      <w:r w:rsidR="00010BFD" w:rsidRPr="00B46CB1">
        <w:rPr>
          <w:rFonts w:ascii="Times New Roman" w:hAnsi="Times New Roman"/>
          <w:sz w:val="24"/>
          <w:szCs w:val="24"/>
          <w:lang w:val="en-US"/>
        </w:rPr>
        <w:t xml:space="preserve"> insufficient </w:t>
      </w:r>
      <w:r w:rsidR="00E60D4E">
        <w:rPr>
          <w:rFonts w:ascii="Times New Roman" w:hAnsi="Times New Roman"/>
          <w:sz w:val="24"/>
          <w:szCs w:val="24"/>
        </w:rPr>
        <w:t>iron</w:t>
      </w:r>
      <w:r w:rsidR="00010BFD" w:rsidRPr="00B46CB1">
        <w:rPr>
          <w:rFonts w:ascii="Times New Roman" w:hAnsi="Times New Roman"/>
          <w:sz w:val="24"/>
          <w:szCs w:val="24"/>
          <w:lang w:val="en-US"/>
        </w:rPr>
        <w:t xml:space="preserve"> intake</w:t>
      </w:r>
      <w:r w:rsidR="00E60D4E">
        <w:rPr>
          <w:rFonts w:ascii="Times New Roman" w:hAnsi="Times New Roman"/>
          <w:sz w:val="24"/>
          <w:szCs w:val="24"/>
          <w:lang w:val="en-US"/>
        </w:rPr>
        <w:t>.</w:t>
      </w:r>
      <w:r w:rsidRPr="00B46CB1">
        <w:rPr>
          <w:rFonts w:ascii="Times New Roman" w:hAnsi="Times New Roman"/>
          <w:sz w:val="24"/>
          <w:szCs w:val="24"/>
          <w:lang w:val="en-US"/>
        </w:rPr>
        <w:t xml:space="preserve"> </w:t>
      </w:r>
      <w:r w:rsidR="00E60D4E">
        <w:rPr>
          <w:rFonts w:ascii="Times New Roman" w:hAnsi="Times New Roman"/>
          <w:sz w:val="24"/>
          <w:szCs w:val="24"/>
        </w:rPr>
        <w:t xml:space="preserve">Iron </w:t>
      </w:r>
      <w:r w:rsidRPr="00B46CB1">
        <w:rPr>
          <w:rFonts w:ascii="Times New Roman" w:hAnsi="Times New Roman"/>
          <w:sz w:val="24"/>
          <w:szCs w:val="24"/>
          <w:lang w:val="en-US"/>
        </w:rPr>
        <w:t>needs</w:t>
      </w:r>
      <w:r w:rsidR="004040FF" w:rsidRPr="00B46CB1">
        <w:rPr>
          <w:rFonts w:ascii="Times New Roman" w:hAnsi="Times New Roman"/>
          <w:sz w:val="24"/>
          <w:szCs w:val="24"/>
          <w:lang w:val="en-US"/>
        </w:rPr>
        <w:t xml:space="preserve"> increase</w:t>
      </w:r>
      <w:r w:rsidRPr="00B46CB1">
        <w:rPr>
          <w:rFonts w:ascii="Times New Roman" w:hAnsi="Times New Roman"/>
          <w:sz w:val="24"/>
          <w:szCs w:val="24"/>
          <w:lang w:val="en-US"/>
        </w:rPr>
        <w:t xml:space="preserve"> during pregnancy and breastfeeding (physiological changes), and the blood loss. The possibility of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developed from these three factors can climb dramatically when the reserved </w:t>
      </w:r>
      <w:r w:rsidR="00187F56">
        <w:rPr>
          <w:rFonts w:ascii="Times New Roman" w:hAnsi="Times New Roman"/>
          <w:sz w:val="24"/>
          <w:szCs w:val="24"/>
        </w:rPr>
        <w:t>of iron</w:t>
      </w:r>
      <w:r w:rsidRPr="00B46CB1">
        <w:rPr>
          <w:rFonts w:ascii="Times New Roman" w:hAnsi="Times New Roman"/>
          <w:sz w:val="24"/>
          <w:szCs w:val="24"/>
          <w:lang w:val="en-US"/>
        </w:rPr>
        <w:t xml:space="preserve"> cannot </w:t>
      </w:r>
      <w:r w:rsidR="00097F4F">
        <w:rPr>
          <w:rFonts w:ascii="Times New Roman" w:hAnsi="Times New Roman"/>
          <w:sz w:val="24"/>
          <w:szCs w:val="24"/>
          <w:lang w:val="en-US"/>
        </w:rPr>
        <w:t>accommodate</w:t>
      </w:r>
      <w:r w:rsidR="00097F4F">
        <w:rPr>
          <w:rFonts w:ascii="Times New Roman" w:hAnsi="Times New Roman"/>
          <w:sz w:val="24"/>
          <w:szCs w:val="24"/>
        </w:rPr>
        <w:t xml:space="preserve"> </w:t>
      </w:r>
      <w:r w:rsidRPr="00B46CB1">
        <w:rPr>
          <w:rFonts w:ascii="Times New Roman" w:hAnsi="Times New Roman"/>
          <w:sz w:val="24"/>
          <w:szCs w:val="24"/>
          <w:lang w:val="en-US"/>
        </w:rPr>
        <w:t xml:space="preserve">the increase of </w:t>
      </w:r>
      <w:r w:rsidR="00187F56">
        <w:rPr>
          <w:rFonts w:ascii="Times New Roman" w:hAnsi="Times New Roman"/>
          <w:sz w:val="24"/>
          <w:szCs w:val="24"/>
        </w:rPr>
        <w:t>iron</w:t>
      </w:r>
      <w:r w:rsidRPr="00B46CB1">
        <w:rPr>
          <w:rFonts w:ascii="Times New Roman" w:hAnsi="Times New Roman"/>
          <w:sz w:val="24"/>
          <w:szCs w:val="24"/>
          <w:lang w:val="en-US"/>
        </w:rPr>
        <w:t xml:space="preserve"> needs. Women of Childbearing Age are the most susceptible from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because they do not have sufficient </w:t>
      </w:r>
      <w:r w:rsidR="00187F56">
        <w:rPr>
          <w:rFonts w:ascii="Times New Roman" w:hAnsi="Times New Roman"/>
          <w:sz w:val="24"/>
          <w:szCs w:val="24"/>
        </w:rPr>
        <w:t>iron</w:t>
      </w:r>
      <w:r w:rsidRPr="00B46CB1">
        <w:rPr>
          <w:rFonts w:ascii="Times New Roman" w:hAnsi="Times New Roman"/>
          <w:sz w:val="24"/>
          <w:szCs w:val="24"/>
          <w:lang w:val="en-US"/>
        </w:rPr>
        <w:t xml:space="preserve"> intake and reserve for the needs increase </w:t>
      </w:r>
      <w:r w:rsidR="00B46CB1">
        <w:rPr>
          <w:rFonts w:ascii="Times New Roman" w:hAnsi="Times New Roman"/>
          <w:sz w:val="24"/>
          <w:szCs w:val="24"/>
          <w:lang w:val="en-US"/>
        </w:rPr>
        <w:t xml:space="preserve">and the loss of it </w:t>
      </w:r>
      <w:r w:rsidR="00B46CB1">
        <w:rPr>
          <w:rFonts w:ascii="Times New Roman" w:hAnsi="Times New Roman"/>
          <w:sz w:val="24"/>
          <w:szCs w:val="24"/>
        </w:rPr>
        <w:t>[5]</w:t>
      </w:r>
      <w:r w:rsidRPr="00B46CB1">
        <w:rPr>
          <w:rFonts w:ascii="Times New Roman" w:hAnsi="Times New Roman"/>
          <w:sz w:val="24"/>
          <w:szCs w:val="24"/>
          <w:lang w:val="en-US"/>
        </w:rPr>
        <w:t xml:space="preserve">. According to </w:t>
      </w:r>
      <w:proofErr w:type="spellStart"/>
      <w:r w:rsidRPr="00B46CB1">
        <w:rPr>
          <w:rFonts w:ascii="Times New Roman" w:hAnsi="Times New Roman"/>
          <w:sz w:val="24"/>
          <w:szCs w:val="24"/>
          <w:lang w:val="en-US"/>
        </w:rPr>
        <w:t>Mahirawati</w:t>
      </w:r>
      <w:proofErr w:type="spellEnd"/>
      <w:r w:rsidR="00187F56">
        <w:rPr>
          <w:rFonts w:ascii="Times New Roman" w:hAnsi="Times New Roman"/>
          <w:sz w:val="24"/>
          <w:szCs w:val="24"/>
        </w:rPr>
        <w:t xml:space="preserve"> study</w:t>
      </w:r>
      <w:r w:rsidRPr="00B46CB1">
        <w:rPr>
          <w:rFonts w:ascii="Times New Roman" w:hAnsi="Times New Roman"/>
          <w:sz w:val="24"/>
          <w:szCs w:val="24"/>
          <w:lang w:val="en-US"/>
        </w:rPr>
        <w:t xml:space="preserve">, iron-deficiency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is caused by the imbalance in the needs of body for growth and the loss of blood, as well as the insufficiency of iron from diet. Besides iron, the nutrient needed to develop </w:t>
      </w:r>
      <w:proofErr w:type="spellStart"/>
      <w:r w:rsidRPr="00B46CB1">
        <w:rPr>
          <w:rFonts w:ascii="Times New Roman" w:hAnsi="Times New Roman"/>
          <w:sz w:val="24"/>
          <w:szCs w:val="24"/>
          <w:lang w:val="en-US"/>
        </w:rPr>
        <w:t>haem</w:t>
      </w:r>
      <w:r w:rsidR="00187F56">
        <w:rPr>
          <w:rFonts w:ascii="Times New Roman" w:hAnsi="Times New Roman"/>
          <w:sz w:val="24"/>
          <w:szCs w:val="24"/>
          <w:lang w:val="en-US"/>
        </w:rPr>
        <w:t>oglobin</w:t>
      </w:r>
      <w:proofErr w:type="spellEnd"/>
      <w:r w:rsidR="00187F56">
        <w:rPr>
          <w:rFonts w:ascii="Times New Roman" w:hAnsi="Times New Roman"/>
          <w:sz w:val="24"/>
          <w:szCs w:val="24"/>
          <w:lang w:val="en-US"/>
        </w:rPr>
        <w:t xml:space="preserve"> synthesis is folic acid</w:t>
      </w:r>
      <w:r w:rsidR="00187F56">
        <w:rPr>
          <w:rFonts w:ascii="Times New Roman" w:hAnsi="Times New Roman"/>
          <w:sz w:val="24"/>
          <w:szCs w:val="24"/>
        </w:rPr>
        <w:t xml:space="preserve"> [6].</w:t>
      </w:r>
    </w:p>
    <w:p w:rsidR="00FF29C9" w:rsidRPr="00B46CB1" w:rsidRDefault="00FF29C9"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t xml:space="preserve">Other causes of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in Women of Childbearing Age are blood loss, </w:t>
      </w:r>
      <w:r w:rsidR="007F7B23">
        <w:rPr>
          <w:rFonts w:ascii="Times New Roman" w:hAnsi="Times New Roman"/>
          <w:sz w:val="24"/>
          <w:szCs w:val="24"/>
        </w:rPr>
        <w:t xml:space="preserve">inadequate </w:t>
      </w:r>
      <w:r w:rsidRPr="00B46CB1">
        <w:rPr>
          <w:rFonts w:ascii="Times New Roman" w:hAnsi="Times New Roman"/>
          <w:sz w:val="24"/>
          <w:szCs w:val="24"/>
          <w:lang w:val="en-US"/>
        </w:rPr>
        <w:t xml:space="preserve">iron </w:t>
      </w:r>
      <w:r w:rsidR="007F7B23">
        <w:rPr>
          <w:rFonts w:ascii="Times New Roman" w:hAnsi="Times New Roman"/>
          <w:sz w:val="24"/>
          <w:szCs w:val="24"/>
        </w:rPr>
        <w:t>intake</w:t>
      </w:r>
      <w:r w:rsidRPr="00B46CB1">
        <w:rPr>
          <w:rFonts w:ascii="Times New Roman" w:hAnsi="Times New Roman"/>
          <w:sz w:val="24"/>
          <w:szCs w:val="24"/>
          <w:lang w:val="en-US"/>
        </w:rPr>
        <w:t xml:space="preserve">, the increase of </w:t>
      </w:r>
      <w:r w:rsidR="00E451D3" w:rsidRPr="00B46CB1">
        <w:rPr>
          <w:rFonts w:ascii="Times New Roman" w:hAnsi="Times New Roman"/>
          <w:sz w:val="24"/>
          <w:szCs w:val="24"/>
          <w:lang w:val="en-US"/>
        </w:rPr>
        <w:t>body’s physiologic</w:t>
      </w:r>
      <w:r w:rsidR="007F7B23">
        <w:rPr>
          <w:rFonts w:ascii="Times New Roman" w:hAnsi="Times New Roman"/>
          <w:sz w:val="24"/>
          <w:szCs w:val="24"/>
          <w:lang w:val="en-US"/>
        </w:rPr>
        <w:t xml:space="preserve"> needs, mal</w:t>
      </w:r>
      <w:r w:rsidR="007F7B23">
        <w:rPr>
          <w:rFonts w:ascii="Times New Roman" w:hAnsi="Times New Roman"/>
          <w:sz w:val="24"/>
          <w:szCs w:val="24"/>
        </w:rPr>
        <w:t>absorption</w:t>
      </w:r>
      <w:r w:rsidRPr="00B46CB1">
        <w:rPr>
          <w:rFonts w:ascii="Times New Roman" w:hAnsi="Times New Roman"/>
          <w:sz w:val="24"/>
          <w:szCs w:val="24"/>
          <w:lang w:val="en-US"/>
        </w:rPr>
        <w:t>, insufficient iron reserve, inadequate nutrient intake, h</w:t>
      </w:r>
      <w:r w:rsidR="007F7B23">
        <w:rPr>
          <w:rFonts w:ascii="Times New Roman" w:hAnsi="Times New Roman"/>
          <w:sz w:val="24"/>
          <w:szCs w:val="24"/>
        </w:rPr>
        <w:t>a</w:t>
      </w:r>
      <w:proofErr w:type="spellStart"/>
      <w:r w:rsidRPr="00B46CB1">
        <w:rPr>
          <w:rFonts w:ascii="Times New Roman" w:hAnsi="Times New Roman"/>
          <w:sz w:val="24"/>
          <w:szCs w:val="24"/>
          <w:lang w:val="en-US"/>
        </w:rPr>
        <w:t>emoglobinopathy</w:t>
      </w:r>
      <w:proofErr w:type="spellEnd"/>
      <w:r w:rsidRPr="00B46CB1">
        <w:rPr>
          <w:rFonts w:ascii="Times New Roman" w:hAnsi="Times New Roman"/>
          <w:sz w:val="24"/>
          <w:szCs w:val="24"/>
          <w:lang w:val="en-US"/>
        </w:rPr>
        <w:t xml:space="preserve">, medicine, and other factors such as life style and health behavior. Individual’s eating behavior, for example, is one of health behavior that affects </w:t>
      </w:r>
      <w:r w:rsidR="00010BFD" w:rsidRPr="00B46CB1">
        <w:rPr>
          <w:rFonts w:ascii="Times New Roman" w:hAnsi="Times New Roman"/>
          <w:sz w:val="24"/>
          <w:szCs w:val="24"/>
          <w:lang w:val="en-US"/>
        </w:rPr>
        <w:t>individual’s</w:t>
      </w:r>
      <w:r w:rsidRPr="00B46CB1">
        <w:rPr>
          <w:rFonts w:ascii="Times New Roman" w:hAnsi="Times New Roman"/>
          <w:sz w:val="24"/>
          <w:szCs w:val="24"/>
          <w:lang w:val="en-US"/>
        </w:rPr>
        <w:t xml:space="preserve"> health status </w:t>
      </w:r>
      <w:r w:rsidR="00644DC4">
        <w:rPr>
          <w:rFonts w:ascii="Times New Roman" w:hAnsi="Times New Roman"/>
          <w:sz w:val="24"/>
          <w:szCs w:val="24"/>
        </w:rPr>
        <w:t>[5,7]</w:t>
      </w:r>
      <w:r w:rsidRPr="00B46CB1">
        <w:rPr>
          <w:rFonts w:ascii="Times New Roman" w:hAnsi="Times New Roman"/>
          <w:sz w:val="24"/>
          <w:szCs w:val="24"/>
          <w:lang w:val="en-US"/>
        </w:rPr>
        <w:t xml:space="preserve">. A study conducted by </w:t>
      </w:r>
      <w:proofErr w:type="spellStart"/>
      <w:r w:rsidRPr="00B46CB1">
        <w:rPr>
          <w:rFonts w:ascii="Times New Roman" w:hAnsi="Times New Roman"/>
          <w:sz w:val="24"/>
          <w:szCs w:val="24"/>
          <w:lang w:val="en-US"/>
        </w:rPr>
        <w:t>Gutmaningsih</w:t>
      </w:r>
      <w:proofErr w:type="spellEnd"/>
      <w:r w:rsidRPr="00B46CB1">
        <w:rPr>
          <w:rFonts w:ascii="Times New Roman" w:hAnsi="Times New Roman"/>
          <w:sz w:val="24"/>
          <w:szCs w:val="24"/>
          <w:lang w:val="en-US"/>
        </w:rPr>
        <w:t xml:space="preserve"> </w:t>
      </w:r>
      <w:r w:rsidR="007F7B23">
        <w:rPr>
          <w:rFonts w:ascii="Times New Roman" w:hAnsi="Times New Roman"/>
          <w:sz w:val="24"/>
          <w:szCs w:val="24"/>
        </w:rPr>
        <w:t>shown</w:t>
      </w:r>
      <w:r w:rsidRPr="00B46CB1">
        <w:rPr>
          <w:rFonts w:ascii="Times New Roman" w:hAnsi="Times New Roman"/>
          <w:sz w:val="24"/>
          <w:szCs w:val="24"/>
          <w:lang w:val="en-US"/>
        </w:rPr>
        <w:t xml:space="preserve"> that there was a </w:t>
      </w:r>
      <w:proofErr w:type="spellStart"/>
      <w:r w:rsidRPr="00B46CB1">
        <w:rPr>
          <w:rFonts w:ascii="Times New Roman" w:hAnsi="Times New Roman"/>
          <w:sz w:val="24"/>
          <w:szCs w:val="24"/>
          <w:lang w:val="en-US"/>
        </w:rPr>
        <w:t>signifficant</w:t>
      </w:r>
      <w:proofErr w:type="spellEnd"/>
      <w:r w:rsidRPr="00B46CB1">
        <w:rPr>
          <w:rFonts w:ascii="Times New Roman" w:hAnsi="Times New Roman"/>
          <w:sz w:val="24"/>
          <w:szCs w:val="24"/>
          <w:lang w:val="en-US"/>
        </w:rPr>
        <w:t xml:space="preserve"> correlation between health status and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prevalence</w:t>
      </w:r>
      <w:r w:rsidR="007F7B23">
        <w:rPr>
          <w:rFonts w:ascii="Times New Roman" w:hAnsi="Times New Roman"/>
          <w:sz w:val="24"/>
          <w:szCs w:val="24"/>
        </w:rPr>
        <w:t xml:space="preserve"> [8]</w:t>
      </w:r>
      <w:r w:rsidRPr="00B46CB1">
        <w:rPr>
          <w:rFonts w:ascii="Times New Roman" w:hAnsi="Times New Roman"/>
          <w:sz w:val="24"/>
          <w:szCs w:val="24"/>
          <w:lang w:val="en-US"/>
        </w:rPr>
        <w:t>.</w:t>
      </w:r>
    </w:p>
    <w:p w:rsidR="00FF29C9" w:rsidRDefault="00FF29C9"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lastRenderedPageBreak/>
        <w:t xml:space="preserve">In Central Lampung regency,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is one of the most common health problems along with Vitamin A deficiency, chronic energy deficiency, and health problems ca</w:t>
      </w:r>
      <w:r w:rsidR="007F7B23">
        <w:rPr>
          <w:rFonts w:ascii="Times New Roman" w:hAnsi="Times New Roman"/>
          <w:sz w:val="24"/>
          <w:szCs w:val="24"/>
          <w:lang w:val="en-US"/>
        </w:rPr>
        <w:t>used by iodine deficiency [9].</w:t>
      </w:r>
    </w:p>
    <w:p w:rsidR="005352BB" w:rsidRPr="00B46CB1" w:rsidRDefault="005352BB" w:rsidP="00C5236D">
      <w:pPr>
        <w:spacing w:after="0" w:line="360" w:lineRule="auto"/>
        <w:ind w:firstLine="567"/>
        <w:jc w:val="both"/>
        <w:rPr>
          <w:rFonts w:ascii="Times New Roman" w:hAnsi="Times New Roman"/>
          <w:sz w:val="24"/>
          <w:szCs w:val="24"/>
          <w:lang w:val="en-US"/>
        </w:rPr>
      </w:pPr>
    </w:p>
    <w:p w:rsidR="00391DCF" w:rsidRPr="00B46CB1" w:rsidRDefault="00B46CB1" w:rsidP="00C5236D">
      <w:pPr>
        <w:spacing w:after="0" w:line="360" w:lineRule="auto"/>
        <w:jc w:val="both"/>
        <w:rPr>
          <w:rFonts w:ascii="Times New Roman" w:hAnsi="Times New Roman"/>
          <w:b/>
          <w:sz w:val="24"/>
          <w:szCs w:val="24"/>
          <w:lang w:val="en-US"/>
        </w:rPr>
      </w:pPr>
      <w:r w:rsidRPr="00B46CB1">
        <w:rPr>
          <w:rFonts w:ascii="Times New Roman" w:hAnsi="Times New Roman"/>
          <w:b/>
          <w:sz w:val="24"/>
          <w:szCs w:val="24"/>
        </w:rPr>
        <w:t>2. M</w:t>
      </w:r>
      <w:proofErr w:type="spellStart"/>
      <w:r w:rsidRPr="00B46CB1">
        <w:rPr>
          <w:rFonts w:ascii="Times New Roman" w:hAnsi="Times New Roman"/>
          <w:b/>
          <w:sz w:val="24"/>
          <w:szCs w:val="24"/>
          <w:lang w:val="en-US"/>
        </w:rPr>
        <w:t>ethods</w:t>
      </w:r>
      <w:proofErr w:type="spellEnd"/>
    </w:p>
    <w:p w:rsidR="00846B9C" w:rsidRPr="00B46CB1" w:rsidRDefault="00391DCF"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t xml:space="preserve">This study was observational research </w:t>
      </w:r>
      <w:r w:rsidR="00010BFD" w:rsidRPr="00B46CB1">
        <w:rPr>
          <w:rFonts w:ascii="Times New Roman" w:hAnsi="Times New Roman"/>
          <w:sz w:val="24"/>
          <w:szCs w:val="24"/>
          <w:lang w:val="en-US"/>
        </w:rPr>
        <w:t>with cross sectional design study approach</w:t>
      </w:r>
      <w:r w:rsidRPr="00B46CB1">
        <w:rPr>
          <w:rFonts w:ascii="Times New Roman" w:hAnsi="Times New Roman"/>
          <w:sz w:val="24"/>
          <w:szCs w:val="24"/>
          <w:lang w:val="en-US"/>
        </w:rPr>
        <w:t xml:space="preserve">. It was conducted in </w:t>
      </w:r>
      <w:proofErr w:type="spellStart"/>
      <w:r w:rsidRPr="00B46CB1">
        <w:rPr>
          <w:rFonts w:ascii="Times New Roman" w:hAnsi="Times New Roman"/>
          <w:sz w:val="24"/>
          <w:szCs w:val="24"/>
          <w:lang w:val="en-US"/>
        </w:rPr>
        <w:t>Terbanggi</w:t>
      </w:r>
      <w:proofErr w:type="spellEnd"/>
      <w:r w:rsidR="005121F8">
        <w:rPr>
          <w:rFonts w:ascii="Times New Roman" w:hAnsi="Times New Roman"/>
          <w:sz w:val="24"/>
          <w:szCs w:val="24"/>
        </w:rPr>
        <w:t xml:space="preserve"> </w:t>
      </w:r>
      <w:proofErr w:type="spellStart"/>
      <w:r w:rsidRPr="00B46CB1">
        <w:rPr>
          <w:rFonts w:ascii="Times New Roman" w:hAnsi="Times New Roman"/>
          <w:sz w:val="24"/>
          <w:szCs w:val="24"/>
          <w:lang w:val="en-US"/>
        </w:rPr>
        <w:t>Besar</w:t>
      </w:r>
      <w:proofErr w:type="spellEnd"/>
      <w:r w:rsidRPr="00B46CB1">
        <w:rPr>
          <w:rFonts w:ascii="Times New Roman" w:hAnsi="Times New Roman"/>
          <w:sz w:val="24"/>
          <w:szCs w:val="24"/>
          <w:lang w:val="en-US"/>
        </w:rPr>
        <w:t xml:space="preserve"> district of Central Lampung regency from August t</w:t>
      </w:r>
      <w:r w:rsidR="00084070" w:rsidRPr="00B46CB1">
        <w:rPr>
          <w:rFonts w:ascii="Times New Roman" w:hAnsi="Times New Roman"/>
          <w:sz w:val="24"/>
          <w:szCs w:val="24"/>
          <w:lang w:val="en-US"/>
        </w:rPr>
        <w:t xml:space="preserve">o November 2016. The </w:t>
      </w:r>
      <w:r w:rsidR="00AA3C84" w:rsidRPr="00B46CB1">
        <w:rPr>
          <w:rFonts w:ascii="Times New Roman" w:hAnsi="Times New Roman"/>
          <w:sz w:val="24"/>
          <w:szCs w:val="24"/>
          <w:lang w:val="en-US"/>
        </w:rPr>
        <w:t>population of this study was</w:t>
      </w:r>
      <w:r w:rsidR="00084070" w:rsidRPr="00B46CB1">
        <w:rPr>
          <w:rFonts w:ascii="Times New Roman" w:hAnsi="Times New Roman"/>
          <w:sz w:val="24"/>
          <w:szCs w:val="24"/>
          <w:lang w:val="en-US"/>
        </w:rPr>
        <w:t xml:space="preserve"> all women who were categorized as the Women of Childbearing Age in Central Lampung. </w:t>
      </w:r>
      <w:r w:rsidR="005121F8">
        <w:rPr>
          <w:rFonts w:ascii="Times New Roman" w:hAnsi="Times New Roman"/>
          <w:sz w:val="24"/>
          <w:szCs w:val="24"/>
        </w:rPr>
        <w:t>Based on the calculation of sample size</w:t>
      </w:r>
      <w:r w:rsidR="003B4B3E" w:rsidRPr="00B46CB1">
        <w:rPr>
          <w:rFonts w:ascii="Times New Roman" w:hAnsi="Times New Roman"/>
          <w:sz w:val="24"/>
          <w:szCs w:val="24"/>
          <w:lang w:val="en-US"/>
        </w:rPr>
        <w:t xml:space="preserve"> </w:t>
      </w:r>
      <w:r w:rsidR="005121F8">
        <w:rPr>
          <w:rFonts w:ascii="Times New Roman" w:hAnsi="Times New Roman"/>
          <w:sz w:val="24"/>
          <w:szCs w:val="24"/>
        </w:rPr>
        <w:t xml:space="preserve">formula, we </w:t>
      </w:r>
      <w:r w:rsidR="003B4B3E" w:rsidRPr="00B46CB1">
        <w:rPr>
          <w:rFonts w:ascii="Times New Roman" w:hAnsi="Times New Roman"/>
          <w:sz w:val="24"/>
          <w:szCs w:val="24"/>
          <w:lang w:val="en-US"/>
        </w:rPr>
        <w:t>got 183</w:t>
      </w:r>
      <w:r w:rsidR="005121F8">
        <w:rPr>
          <w:rFonts w:ascii="Times New Roman" w:hAnsi="Times New Roman"/>
          <w:sz w:val="24"/>
          <w:szCs w:val="24"/>
          <w:lang w:val="en-US"/>
        </w:rPr>
        <w:t xml:space="preserve"> as the minimum number of </w:t>
      </w:r>
      <w:r w:rsidR="003B4B3E" w:rsidRPr="00B46CB1">
        <w:rPr>
          <w:rFonts w:ascii="Times New Roman" w:hAnsi="Times New Roman"/>
          <w:sz w:val="24"/>
          <w:szCs w:val="24"/>
          <w:lang w:val="en-US"/>
        </w:rPr>
        <w:t>sample in this study.</w:t>
      </w:r>
      <w:r w:rsidR="00BE4A8F" w:rsidRPr="00B46CB1">
        <w:rPr>
          <w:rFonts w:ascii="Times New Roman" w:hAnsi="Times New Roman"/>
          <w:sz w:val="24"/>
          <w:szCs w:val="24"/>
          <w:lang w:val="en-US"/>
        </w:rPr>
        <w:t xml:space="preserve"> </w:t>
      </w:r>
      <w:r w:rsidR="005121F8">
        <w:rPr>
          <w:rFonts w:ascii="Times New Roman" w:hAnsi="Times New Roman"/>
          <w:sz w:val="24"/>
          <w:szCs w:val="24"/>
        </w:rPr>
        <w:t xml:space="preserve">We use the </w:t>
      </w:r>
      <w:r w:rsidR="007C3E5A">
        <w:rPr>
          <w:rFonts w:ascii="Times New Roman" w:hAnsi="Times New Roman"/>
          <w:sz w:val="24"/>
          <w:szCs w:val="24"/>
        </w:rPr>
        <w:t>independence analytic categorical variabel type of sample size</w:t>
      </w:r>
      <w:r w:rsidR="00196094" w:rsidRPr="00B46CB1">
        <w:rPr>
          <w:rFonts w:ascii="Times New Roman" w:hAnsi="Times New Roman"/>
          <w:sz w:val="24"/>
          <w:szCs w:val="24"/>
          <w:lang w:val="en-US"/>
        </w:rPr>
        <w:t xml:space="preserve"> </w:t>
      </w:r>
      <w:r w:rsidR="00BE4A8F" w:rsidRPr="00B46CB1">
        <w:rPr>
          <w:rFonts w:ascii="Times New Roman" w:hAnsi="Times New Roman"/>
          <w:sz w:val="24"/>
          <w:szCs w:val="24"/>
          <w:lang w:val="en-US"/>
        </w:rPr>
        <w:t xml:space="preserve">with </w:t>
      </w:r>
      <w:r w:rsidR="00AA3C84" w:rsidRPr="00B46CB1">
        <w:rPr>
          <w:rFonts w:ascii="Times New Roman" w:hAnsi="Times New Roman"/>
          <w:sz w:val="24"/>
          <w:szCs w:val="24"/>
          <w:lang w:val="en-US"/>
        </w:rPr>
        <w:t>reliability</w:t>
      </w:r>
      <w:r w:rsidR="00BE4A8F" w:rsidRPr="00B46CB1">
        <w:rPr>
          <w:rFonts w:ascii="Times New Roman" w:hAnsi="Times New Roman"/>
          <w:sz w:val="24"/>
          <w:szCs w:val="24"/>
          <w:lang w:val="en-US"/>
        </w:rPr>
        <w:t xml:space="preserve"> score 95% and power of the test 80%, </w:t>
      </w:r>
      <w:r w:rsidR="007C3E5A">
        <w:rPr>
          <w:rFonts w:ascii="Times New Roman" w:hAnsi="Times New Roman"/>
          <w:sz w:val="24"/>
          <w:szCs w:val="24"/>
        </w:rPr>
        <w:t>and</w:t>
      </w:r>
      <w:r w:rsidR="00BE4A8F" w:rsidRPr="00B46CB1">
        <w:rPr>
          <w:rFonts w:ascii="Times New Roman" w:hAnsi="Times New Roman"/>
          <w:sz w:val="24"/>
          <w:szCs w:val="24"/>
          <w:lang w:val="en-US"/>
        </w:rPr>
        <w:t xml:space="preserve"> </w:t>
      </w:r>
      <w:r w:rsidR="007C3E5A">
        <w:rPr>
          <w:rFonts w:ascii="Times New Roman" w:hAnsi="Times New Roman"/>
          <w:sz w:val="24"/>
          <w:szCs w:val="24"/>
        </w:rPr>
        <w:t xml:space="preserve">using </w:t>
      </w:r>
      <w:r w:rsidR="007C3E5A" w:rsidRPr="00B46CB1">
        <w:rPr>
          <w:rFonts w:ascii="Times New Roman" w:hAnsi="Times New Roman"/>
          <w:sz w:val="24"/>
          <w:szCs w:val="24"/>
          <w:lang w:val="en-US"/>
        </w:rPr>
        <w:t xml:space="preserve">cluster sampling </w:t>
      </w:r>
      <w:r w:rsidR="007C3E5A">
        <w:rPr>
          <w:rFonts w:ascii="Times New Roman" w:hAnsi="Times New Roman"/>
          <w:sz w:val="24"/>
          <w:szCs w:val="24"/>
        </w:rPr>
        <w:t xml:space="preserve">as </w:t>
      </w:r>
      <w:r w:rsidR="00BE4A8F" w:rsidRPr="00B46CB1">
        <w:rPr>
          <w:rFonts w:ascii="Times New Roman" w:hAnsi="Times New Roman"/>
          <w:sz w:val="24"/>
          <w:szCs w:val="24"/>
          <w:lang w:val="en-US"/>
        </w:rPr>
        <w:t xml:space="preserve">the sampling method. The samples were taken from 8 </w:t>
      </w:r>
      <w:r w:rsidR="00AA3C84" w:rsidRPr="00B46CB1">
        <w:rPr>
          <w:rFonts w:ascii="Times New Roman" w:hAnsi="Times New Roman"/>
          <w:sz w:val="24"/>
          <w:szCs w:val="24"/>
          <w:lang w:val="en-US"/>
        </w:rPr>
        <w:t>sub districts</w:t>
      </w:r>
      <w:r w:rsidR="00BE4A8F" w:rsidRPr="00B46CB1">
        <w:rPr>
          <w:rFonts w:ascii="Times New Roman" w:hAnsi="Times New Roman"/>
          <w:sz w:val="24"/>
          <w:szCs w:val="24"/>
          <w:lang w:val="en-US"/>
        </w:rPr>
        <w:t xml:space="preserve"> in </w:t>
      </w:r>
      <w:proofErr w:type="spellStart"/>
      <w:r w:rsidR="00BE4A8F" w:rsidRPr="00B46CB1">
        <w:rPr>
          <w:rFonts w:ascii="Times New Roman" w:hAnsi="Times New Roman"/>
          <w:sz w:val="24"/>
          <w:szCs w:val="24"/>
          <w:lang w:val="en-US"/>
        </w:rPr>
        <w:t>Terbanggi</w:t>
      </w:r>
      <w:proofErr w:type="spellEnd"/>
      <w:r w:rsidR="007C3E5A">
        <w:rPr>
          <w:rFonts w:ascii="Times New Roman" w:hAnsi="Times New Roman"/>
          <w:sz w:val="24"/>
          <w:szCs w:val="24"/>
        </w:rPr>
        <w:t xml:space="preserve"> </w:t>
      </w:r>
      <w:proofErr w:type="spellStart"/>
      <w:r w:rsidR="00BE4A8F" w:rsidRPr="00B46CB1">
        <w:rPr>
          <w:rFonts w:ascii="Times New Roman" w:hAnsi="Times New Roman"/>
          <w:sz w:val="24"/>
          <w:szCs w:val="24"/>
          <w:lang w:val="en-US"/>
        </w:rPr>
        <w:t>Besar</w:t>
      </w:r>
      <w:proofErr w:type="spellEnd"/>
      <w:r w:rsidR="00BE4A8F" w:rsidRPr="00B46CB1">
        <w:rPr>
          <w:rFonts w:ascii="Times New Roman" w:hAnsi="Times New Roman"/>
          <w:sz w:val="24"/>
          <w:szCs w:val="24"/>
          <w:lang w:val="en-US"/>
        </w:rPr>
        <w:t>, Central Lampung. The inclusion criteria for the sample were: W</w:t>
      </w:r>
      <w:r w:rsidR="00F31BDE">
        <w:rPr>
          <w:rFonts w:ascii="Times New Roman" w:hAnsi="Times New Roman"/>
          <w:sz w:val="24"/>
          <w:szCs w:val="24"/>
        </w:rPr>
        <w:t xml:space="preserve">omen of </w:t>
      </w:r>
      <w:r w:rsidR="00BE4A8F" w:rsidRPr="00B46CB1">
        <w:rPr>
          <w:rFonts w:ascii="Times New Roman" w:hAnsi="Times New Roman"/>
          <w:sz w:val="24"/>
          <w:szCs w:val="24"/>
          <w:lang w:val="en-US"/>
        </w:rPr>
        <w:t>C</w:t>
      </w:r>
      <w:r w:rsidR="00F31BDE">
        <w:rPr>
          <w:rFonts w:ascii="Times New Roman" w:hAnsi="Times New Roman"/>
          <w:sz w:val="24"/>
          <w:szCs w:val="24"/>
        </w:rPr>
        <w:t xml:space="preserve">hildbearing </w:t>
      </w:r>
      <w:r w:rsidR="00BE4A8F" w:rsidRPr="00B46CB1">
        <w:rPr>
          <w:rFonts w:ascii="Times New Roman" w:hAnsi="Times New Roman"/>
          <w:sz w:val="24"/>
          <w:szCs w:val="24"/>
          <w:lang w:val="en-US"/>
        </w:rPr>
        <w:t>A</w:t>
      </w:r>
      <w:r w:rsidR="00F31BDE">
        <w:rPr>
          <w:rFonts w:ascii="Times New Roman" w:hAnsi="Times New Roman"/>
          <w:sz w:val="24"/>
          <w:szCs w:val="24"/>
        </w:rPr>
        <w:t>ge</w:t>
      </w:r>
      <w:r w:rsidR="00BE4A8F" w:rsidRPr="00B46CB1">
        <w:rPr>
          <w:rFonts w:ascii="Times New Roman" w:hAnsi="Times New Roman"/>
          <w:sz w:val="24"/>
          <w:szCs w:val="24"/>
          <w:lang w:val="en-US"/>
        </w:rPr>
        <w:t xml:space="preserve"> between the age of 20 and 40,</w:t>
      </w:r>
      <w:r w:rsidR="007C3E5A">
        <w:rPr>
          <w:rFonts w:ascii="Times New Roman" w:hAnsi="Times New Roman"/>
          <w:sz w:val="24"/>
          <w:szCs w:val="24"/>
        </w:rPr>
        <w:t xml:space="preserve"> </w:t>
      </w:r>
      <w:r w:rsidR="00AA3C84" w:rsidRPr="00B46CB1">
        <w:rPr>
          <w:rFonts w:ascii="Times New Roman" w:hAnsi="Times New Roman"/>
          <w:sz w:val="24"/>
          <w:szCs w:val="24"/>
          <w:lang w:val="en-US"/>
        </w:rPr>
        <w:t>administered</w:t>
      </w:r>
      <w:r w:rsidR="00BE4A8F" w:rsidRPr="00B46CB1">
        <w:rPr>
          <w:rFonts w:ascii="Times New Roman" w:hAnsi="Times New Roman"/>
          <w:sz w:val="24"/>
          <w:szCs w:val="24"/>
          <w:lang w:val="en-US"/>
        </w:rPr>
        <w:t xml:space="preserve"> as resident in the studied area and agreed to participate in the research. On the other hand, the exclusion criteria were: patient of chronic infectious diseases, women on a diet or weight loss program, women in pregnancy, and women in menopause. The independent variable in this study were chronic energy </w:t>
      </w:r>
      <w:r w:rsidR="007C3E5A">
        <w:rPr>
          <w:rFonts w:ascii="Times New Roman" w:hAnsi="Times New Roman"/>
          <w:sz w:val="24"/>
          <w:szCs w:val="24"/>
        </w:rPr>
        <w:t>malnutrition</w:t>
      </w:r>
      <w:r w:rsidR="00BE4A8F" w:rsidRPr="00B46CB1">
        <w:rPr>
          <w:rFonts w:ascii="Times New Roman" w:hAnsi="Times New Roman"/>
          <w:sz w:val="24"/>
          <w:szCs w:val="24"/>
          <w:lang w:val="en-US"/>
        </w:rPr>
        <w:t xml:space="preserve"> (CE</w:t>
      </w:r>
      <w:r w:rsidR="007C3E5A">
        <w:rPr>
          <w:rFonts w:ascii="Times New Roman" w:hAnsi="Times New Roman"/>
          <w:sz w:val="24"/>
          <w:szCs w:val="24"/>
        </w:rPr>
        <w:t>M</w:t>
      </w:r>
      <w:r w:rsidR="00BE4A8F" w:rsidRPr="00B46CB1">
        <w:rPr>
          <w:rFonts w:ascii="Times New Roman" w:hAnsi="Times New Roman"/>
          <w:sz w:val="24"/>
          <w:szCs w:val="24"/>
          <w:lang w:val="en-US"/>
        </w:rPr>
        <w:t xml:space="preserve">) and iron intake while the </w:t>
      </w:r>
      <w:r w:rsidR="00AA3C84" w:rsidRPr="00B46CB1">
        <w:rPr>
          <w:rFonts w:ascii="Times New Roman" w:hAnsi="Times New Roman"/>
          <w:sz w:val="24"/>
          <w:szCs w:val="24"/>
          <w:lang w:val="en-US"/>
        </w:rPr>
        <w:t>dependent</w:t>
      </w:r>
      <w:r w:rsidR="00BE4A8F" w:rsidRPr="00B46CB1">
        <w:rPr>
          <w:rFonts w:ascii="Times New Roman" w:hAnsi="Times New Roman"/>
          <w:sz w:val="24"/>
          <w:szCs w:val="24"/>
          <w:lang w:val="en-US"/>
        </w:rPr>
        <w:t xml:space="preserve"> variable was </w:t>
      </w:r>
      <w:r w:rsidR="00644DC4">
        <w:rPr>
          <w:rFonts w:ascii="Times New Roman" w:hAnsi="Times New Roman"/>
          <w:sz w:val="24"/>
          <w:szCs w:val="24"/>
          <w:lang w:val="en-US"/>
        </w:rPr>
        <w:t>anemia</w:t>
      </w:r>
      <w:r w:rsidR="00BE4A8F" w:rsidRPr="00B46CB1">
        <w:rPr>
          <w:rFonts w:ascii="Times New Roman" w:hAnsi="Times New Roman"/>
          <w:sz w:val="24"/>
          <w:szCs w:val="24"/>
          <w:lang w:val="en-US"/>
        </w:rPr>
        <w:t xml:space="preserve"> prevalence.</w:t>
      </w:r>
    </w:p>
    <w:p w:rsidR="00BE4A8F" w:rsidRPr="00B46CB1" w:rsidRDefault="00BE4A8F" w:rsidP="00C5236D">
      <w:pPr>
        <w:pStyle w:val="ListParagraph"/>
        <w:spacing w:after="0" w:line="360" w:lineRule="auto"/>
        <w:ind w:left="0" w:firstLine="567"/>
        <w:jc w:val="both"/>
        <w:rPr>
          <w:rFonts w:ascii="Times New Roman" w:hAnsi="Times New Roman"/>
          <w:sz w:val="24"/>
          <w:szCs w:val="24"/>
          <w:lang w:val="en-US"/>
        </w:rPr>
      </w:pPr>
      <w:r w:rsidRPr="00B46CB1">
        <w:rPr>
          <w:rFonts w:ascii="Times New Roman" w:hAnsi="Times New Roman"/>
          <w:sz w:val="24"/>
          <w:szCs w:val="24"/>
          <w:lang w:val="en-US"/>
        </w:rPr>
        <w:t xml:space="preserve">The chronic energy </w:t>
      </w:r>
      <w:r w:rsidR="007C3E5A">
        <w:rPr>
          <w:rFonts w:ascii="Times New Roman" w:hAnsi="Times New Roman"/>
          <w:sz w:val="24"/>
          <w:szCs w:val="24"/>
        </w:rPr>
        <w:t>malnutrition</w:t>
      </w:r>
      <w:r w:rsidRPr="00B46CB1">
        <w:rPr>
          <w:rFonts w:ascii="Times New Roman" w:hAnsi="Times New Roman"/>
          <w:sz w:val="24"/>
          <w:szCs w:val="24"/>
          <w:lang w:val="en-US"/>
        </w:rPr>
        <w:t xml:space="preserve"> (CE</w:t>
      </w:r>
      <w:r w:rsidR="007C3E5A">
        <w:rPr>
          <w:rFonts w:ascii="Times New Roman" w:hAnsi="Times New Roman"/>
          <w:sz w:val="24"/>
          <w:szCs w:val="24"/>
        </w:rPr>
        <w:t>M</w:t>
      </w:r>
      <w:r w:rsidRPr="00B46CB1">
        <w:rPr>
          <w:rFonts w:ascii="Times New Roman" w:hAnsi="Times New Roman"/>
          <w:sz w:val="24"/>
          <w:szCs w:val="24"/>
          <w:lang w:val="en-US"/>
        </w:rPr>
        <w:t>) data were obtained by conductin</w:t>
      </w:r>
      <w:r w:rsidR="00BD79EF" w:rsidRPr="00B46CB1">
        <w:rPr>
          <w:rFonts w:ascii="Times New Roman" w:hAnsi="Times New Roman"/>
          <w:sz w:val="24"/>
          <w:szCs w:val="24"/>
          <w:lang w:val="en-US"/>
        </w:rPr>
        <w:t xml:space="preserve">g anthropometric test; that was </w:t>
      </w:r>
      <w:r w:rsidRPr="00B46CB1">
        <w:rPr>
          <w:rFonts w:ascii="Times New Roman" w:hAnsi="Times New Roman"/>
          <w:sz w:val="24"/>
          <w:szCs w:val="24"/>
          <w:lang w:val="en-US"/>
        </w:rPr>
        <w:t xml:space="preserve">the arm circumference measurement by using tape measure. </w:t>
      </w:r>
      <w:r w:rsidR="00BD79EF" w:rsidRPr="00B46CB1">
        <w:rPr>
          <w:rFonts w:ascii="Times New Roman" w:hAnsi="Times New Roman"/>
          <w:sz w:val="24"/>
          <w:szCs w:val="24"/>
          <w:lang w:val="en-US"/>
        </w:rPr>
        <w:t xml:space="preserve">Those </w:t>
      </w:r>
      <w:r w:rsidR="00B8289C">
        <w:rPr>
          <w:rFonts w:ascii="Times New Roman" w:hAnsi="Times New Roman"/>
          <w:sz w:val="24"/>
          <w:szCs w:val="24"/>
        </w:rPr>
        <w:t>were</w:t>
      </w:r>
      <w:r w:rsidR="00BD79EF" w:rsidRPr="00B46CB1">
        <w:rPr>
          <w:rFonts w:ascii="Times New Roman" w:hAnsi="Times New Roman"/>
          <w:sz w:val="24"/>
          <w:szCs w:val="24"/>
          <w:lang w:val="en-US"/>
        </w:rPr>
        <w:t xml:space="preserve"> the a</w:t>
      </w:r>
      <w:r w:rsidR="00C73E3B" w:rsidRPr="00B46CB1">
        <w:rPr>
          <w:rFonts w:ascii="Times New Roman" w:hAnsi="Times New Roman"/>
          <w:sz w:val="24"/>
          <w:szCs w:val="24"/>
          <w:lang w:val="en-US"/>
        </w:rPr>
        <w:t>rm circumference &lt;</w:t>
      </w:r>
      <w:r w:rsidR="00BD79EF" w:rsidRPr="00B46CB1">
        <w:rPr>
          <w:rFonts w:ascii="Times New Roman" w:hAnsi="Times New Roman"/>
          <w:sz w:val="24"/>
          <w:szCs w:val="24"/>
          <w:lang w:val="en-US"/>
        </w:rPr>
        <w:t>24.9 cm were categorized as suffering from CE</w:t>
      </w:r>
      <w:r w:rsidR="00F31BDE">
        <w:rPr>
          <w:rFonts w:ascii="Times New Roman" w:hAnsi="Times New Roman"/>
          <w:sz w:val="24"/>
          <w:szCs w:val="24"/>
        </w:rPr>
        <w:t>M</w:t>
      </w:r>
      <w:r w:rsidR="00BD79EF" w:rsidRPr="00B46CB1">
        <w:rPr>
          <w:rFonts w:ascii="Times New Roman" w:hAnsi="Times New Roman"/>
          <w:sz w:val="24"/>
          <w:szCs w:val="24"/>
          <w:lang w:val="en-US"/>
        </w:rPr>
        <w:t xml:space="preserve">, while </w:t>
      </w:r>
      <w:r w:rsidR="00C73E3B" w:rsidRPr="00B46CB1">
        <w:rPr>
          <w:rFonts w:ascii="Times New Roman" w:hAnsi="Times New Roman"/>
          <w:sz w:val="24"/>
          <w:szCs w:val="24"/>
          <w:lang w:val="en-US"/>
        </w:rPr>
        <w:t xml:space="preserve">those </w:t>
      </w:r>
      <w:r w:rsidR="00C73E3B" w:rsidRPr="00B46CB1">
        <w:rPr>
          <w:rFonts w:ascii="Times New Roman" w:hAnsi="Times New Roman"/>
          <w:sz w:val="24"/>
          <w:szCs w:val="24"/>
          <w:u w:val="single"/>
          <w:lang w:val="en-US"/>
        </w:rPr>
        <w:t>&gt;</w:t>
      </w:r>
      <w:r w:rsidR="00C73E3B" w:rsidRPr="00B46CB1">
        <w:rPr>
          <w:rFonts w:ascii="Times New Roman" w:hAnsi="Times New Roman"/>
          <w:sz w:val="24"/>
          <w:szCs w:val="24"/>
          <w:lang w:val="en-US"/>
        </w:rPr>
        <w:t>24,9 cm</w:t>
      </w:r>
      <w:r w:rsidR="00BD79EF" w:rsidRPr="00B46CB1">
        <w:rPr>
          <w:rFonts w:ascii="Times New Roman" w:hAnsi="Times New Roman"/>
          <w:sz w:val="24"/>
          <w:szCs w:val="24"/>
          <w:lang w:val="en-US"/>
        </w:rPr>
        <w:t xml:space="preserve"> were categorized as </w:t>
      </w:r>
      <w:r w:rsidR="008D159D" w:rsidRPr="00B46CB1">
        <w:rPr>
          <w:rFonts w:ascii="Times New Roman" w:hAnsi="Times New Roman"/>
          <w:sz w:val="24"/>
          <w:szCs w:val="24"/>
          <w:lang w:val="en-US"/>
        </w:rPr>
        <w:t>in a healthy condition.</w:t>
      </w:r>
    </w:p>
    <w:p w:rsidR="003E5EDE" w:rsidRPr="00B46CB1" w:rsidRDefault="003E5EDE"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t xml:space="preserve">The iron intake was measured by using 2x24h food recall during weekdays and weekend. The estimated </w:t>
      </w:r>
      <w:r w:rsidR="00C75BC2" w:rsidRPr="00B46CB1">
        <w:rPr>
          <w:rFonts w:ascii="Times New Roman" w:hAnsi="Times New Roman"/>
          <w:sz w:val="24"/>
          <w:szCs w:val="24"/>
          <w:lang w:val="en-US"/>
        </w:rPr>
        <w:t xml:space="preserve">food </w:t>
      </w:r>
      <w:r w:rsidR="00CA448D" w:rsidRPr="00B46CB1">
        <w:rPr>
          <w:rFonts w:ascii="Times New Roman" w:hAnsi="Times New Roman"/>
          <w:sz w:val="24"/>
          <w:szCs w:val="24"/>
          <w:lang w:val="en-US"/>
        </w:rPr>
        <w:t>intake</w:t>
      </w:r>
      <w:r w:rsidR="00B8289C">
        <w:rPr>
          <w:rFonts w:ascii="Times New Roman" w:hAnsi="Times New Roman"/>
          <w:sz w:val="24"/>
          <w:szCs w:val="24"/>
        </w:rPr>
        <w:t xml:space="preserve"> </w:t>
      </w:r>
      <w:r w:rsidRPr="00B46CB1">
        <w:rPr>
          <w:rFonts w:ascii="Times New Roman" w:hAnsi="Times New Roman"/>
          <w:sz w:val="24"/>
          <w:szCs w:val="24"/>
          <w:lang w:val="en-US"/>
        </w:rPr>
        <w:t xml:space="preserve">was than compared to </w:t>
      </w:r>
      <w:r w:rsidR="00E22049" w:rsidRPr="00B46CB1">
        <w:rPr>
          <w:rFonts w:ascii="Times New Roman" w:hAnsi="Times New Roman"/>
          <w:sz w:val="24"/>
          <w:szCs w:val="24"/>
          <w:lang w:val="en-US"/>
        </w:rPr>
        <w:t xml:space="preserve">the </w:t>
      </w:r>
      <w:r w:rsidR="00F571E8" w:rsidRPr="00B46CB1">
        <w:rPr>
          <w:rFonts w:ascii="Times New Roman" w:hAnsi="Times New Roman"/>
          <w:sz w:val="24"/>
          <w:szCs w:val="24"/>
          <w:lang w:val="en-US"/>
        </w:rPr>
        <w:t>average</w:t>
      </w:r>
      <w:r w:rsidR="00194CD2" w:rsidRPr="00B46CB1">
        <w:rPr>
          <w:rFonts w:ascii="Times New Roman" w:hAnsi="Times New Roman"/>
          <w:sz w:val="24"/>
          <w:szCs w:val="24"/>
          <w:lang w:val="en-US"/>
        </w:rPr>
        <w:t xml:space="preserve"> score</w:t>
      </w:r>
      <w:r w:rsidR="00E22049" w:rsidRPr="00B46CB1">
        <w:rPr>
          <w:rFonts w:ascii="Times New Roman" w:hAnsi="Times New Roman"/>
          <w:sz w:val="24"/>
          <w:szCs w:val="24"/>
          <w:lang w:val="en-US"/>
        </w:rPr>
        <w:t xml:space="preserve"> of </w:t>
      </w:r>
      <w:r w:rsidR="003846DA" w:rsidRPr="0022764E">
        <w:rPr>
          <w:rFonts w:ascii="Times New Roman" w:hAnsi="Times New Roman"/>
          <w:sz w:val="24"/>
          <w:szCs w:val="24"/>
        </w:rPr>
        <w:t>Recommended Dietary Allowance (RDA)</w:t>
      </w:r>
      <w:r w:rsidR="00E22049" w:rsidRPr="00B46CB1">
        <w:rPr>
          <w:rFonts w:ascii="Times New Roman" w:hAnsi="Times New Roman"/>
          <w:sz w:val="24"/>
          <w:szCs w:val="24"/>
          <w:lang w:val="en-US"/>
        </w:rPr>
        <w:t xml:space="preserve">-equivalent with Nutrient Adequacy Ratio (NRA)-of Indonesian people that was classified according to their age. Those who scored </w:t>
      </w:r>
      <w:r w:rsidR="00E22049" w:rsidRPr="00B8289C">
        <w:rPr>
          <w:rFonts w:ascii="Times New Roman" w:hAnsi="Times New Roman"/>
          <w:sz w:val="24"/>
          <w:szCs w:val="24"/>
          <w:lang w:val="en-US"/>
        </w:rPr>
        <w:t xml:space="preserve">&lt;80% </w:t>
      </w:r>
      <w:r w:rsidR="00B8289C" w:rsidRPr="00B8289C">
        <w:rPr>
          <w:rFonts w:ascii="Times New Roman" w:hAnsi="Times New Roman"/>
          <w:sz w:val="24"/>
          <w:szCs w:val="24"/>
        </w:rPr>
        <w:t xml:space="preserve">of </w:t>
      </w:r>
      <w:r w:rsidR="00E22049" w:rsidRPr="00B8289C">
        <w:rPr>
          <w:rFonts w:ascii="Times New Roman" w:hAnsi="Times New Roman"/>
          <w:sz w:val="24"/>
          <w:szCs w:val="24"/>
          <w:lang w:val="en-US"/>
        </w:rPr>
        <w:t xml:space="preserve">AKG were considered </w:t>
      </w:r>
      <w:r w:rsidR="00B8289C" w:rsidRPr="00B8289C">
        <w:rPr>
          <w:rFonts w:ascii="Times New Roman" w:hAnsi="Times New Roman"/>
          <w:sz w:val="24"/>
          <w:szCs w:val="24"/>
        </w:rPr>
        <w:t>inadequate intake</w:t>
      </w:r>
      <w:r w:rsidR="00E22049" w:rsidRPr="00B8289C">
        <w:rPr>
          <w:rFonts w:ascii="Times New Roman" w:hAnsi="Times New Roman"/>
          <w:sz w:val="24"/>
          <w:szCs w:val="24"/>
          <w:lang w:val="en-US"/>
        </w:rPr>
        <w:t>, 80-110% AKG were cons</w:t>
      </w:r>
      <w:r w:rsidR="00CA448D" w:rsidRPr="00B8289C">
        <w:rPr>
          <w:rFonts w:ascii="Times New Roman" w:hAnsi="Times New Roman"/>
          <w:sz w:val="24"/>
          <w:szCs w:val="24"/>
          <w:lang w:val="en-US"/>
        </w:rPr>
        <w:t xml:space="preserve">idered </w:t>
      </w:r>
      <w:r w:rsidR="00B8289C" w:rsidRPr="00B8289C">
        <w:rPr>
          <w:rFonts w:ascii="Times New Roman" w:hAnsi="Times New Roman"/>
          <w:sz w:val="24"/>
          <w:szCs w:val="24"/>
        </w:rPr>
        <w:t>adequate intake</w:t>
      </w:r>
      <w:r w:rsidR="00E22049" w:rsidRPr="00B8289C">
        <w:rPr>
          <w:rFonts w:ascii="Times New Roman" w:hAnsi="Times New Roman"/>
          <w:sz w:val="24"/>
          <w:szCs w:val="24"/>
          <w:lang w:val="en-US"/>
        </w:rPr>
        <w:t>, and &gt;110% AKG</w:t>
      </w:r>
      <w:r w:rsidR="00F571E8" w:rsidRPr="00B8289C">
        <w:rPr>
          <w:rFonts w:ascii="Times New Roman" w:hAnsi="Times New Roman"/>
          <w:sz w:val="24"/>
          <w:szCs w:val="24"/>
          <w:lang w:val="en-US"/>
        </w:rPr>
        <w:t xml:space="preserve"> were considered </w:t>
      </w:r>
      <w:r w:rsidR="00B8289C" w:rsidRPr="00B8289C">
        <w:rPr>
          <w:rFonts w:ascii="Times New Roman" w:hAnsi="Times New Roman"/>
          <w:sz w:val="24"/>
          <w:szCs w:val="24"/>
        </w:rPr>
        <w:t>exceessive intake</w:t>
      </w:r>
      <w:r w:rsidR="00F571E8" w:rsidRPr="00B8289C">
        <w:rPr>
          <w:rFonts w:ascii="Times New Roman" w:hAnsi="Times New Roman"/>
          <w:sz w:val="24"/>
          <w:szCs w:val="24"/>
          <w:lang w:val="en-US"/>
        </w:rPr>
        <w:t>. D</w:t>
      </w:r>
      <w:r w:rsidR="00F571E8" w:rsidRPr="00B46CB1">
        <w:rPr>
          <w:rFonts w:ascii="Times New Roman" w:hAnsi="Times New Roman"/>
          <w:sz w:val="24"/>
          <w:szCs w:val="24"/>
          <w:lang w:val="en-US"/>
        </w:rPr>
        <w:t xml:space="preserve">uring the data collection for iron intake, the subjects were required to remember and list all foods and </w:t>
      </w:r>
      <w:r w:rsidR="00AA3C84" w:rsidRPr="00B46CB1">
        <w:rPr>
          <w:rFonts w:ascii="Times New Roman" w:hAnsi="Times New Roman"/>
          <w:sz w:val="24"/>
          <w:szCs w:val="24"/>
          <w:lang w:val="en-US"/>
        </w:rPr>
        <w:t>beverages</w:t>
      </w:r>
      <w:r w:rsidR="00F571E8" w:rsidRPr="00B46CB1">
        <w:rPr>
          <w:rFonts w:ascii="Times New Roman" w:hAnsi="Times New Roman"/>
          <w:sz w:val="24"/>
          <w:szCs w:val="24"/>
          <w:lang w:val="en-US"/>
        </w:rPr>
        <w:t xml:space="preserve"> they consumed within 24 hours. The </w:t>
      </w:r>
      <w:r w:rsidR="00AA3C84" w:rsidRPr="00B46CB1">
        <w:rPr>
          <w:rFonts w:ascii="Times New Roman" w:hAnsi="Times New Roman"/>
          <w:sz w:val="24"/>
          <w:szCs w:val="24"/>
          <w:lang w:val="en-US"/>
        </w:rPr>
        <w:t>measurement</w:t>
      </w:r>
      <w:r w:rsidR="00F571E8" w:rsidRPr="00B46CB1">
        <w:rPr>
          <w:rFonts w:ascii="Times New Roman" w:hAnsi="Times New Roman"/>
          <w:sz w:val="24"/>
          <w:szCs w:val="24"/>
          <w:lang w:val="en-US"/>
        </w:rPr>
        <w:t xml:space="preserve"> of subjects’ </w:t>
      </w:r>
      <w:r w:rsidR="00CA448D" w:rsidRPr="00B46CB1">
        <w:rPr>
          <w:rFonts w:ascii="Times New Roman" w:hAnsi="Times New Roman"/>
          <w:sz w:val="24"/>
          <w:szCs w:val="24"/>
          <w:lang w:val="en-US"/>
        </w:rPr>
        <w:t>food intake</w:t>
      </w:r>
      <w:r w:rsidR="00B72C02" w:rsidRPr="00B46CB1">
        <w:rPr>
          <w:rFonts w:ascii="Times New Roman" w:hAnsi="Times New Roman"/>
          <w:sz w:val="24"/>
          <w:szCs w:val="24"/>
          <w:lang w:val="en-US"/>
        </w:rPr>
        <w:t xml:space="preserve"> was conducted by measuring iron content in foods and </w:t>
      </w:r>
      <w:r w:rsidR="00AA3C84" w:rsidRPr="00B46CB1">
        <w:rPr>
          <w:rFonts w:ascii="Times New Roman" w:hAnsi="Times New Roman"/>
          <w:sz w:val="24"/>
          <w:szCs w:val="24"/>
          <w:lang w:val="en-US"/>
        </w:rPr>
        <w:t>beverages</w:t>
      </w:r>
      <w:r w:rsidR="00B72C02" w:rsidRPr="00B46CB1">
        <w:rPr>
          <w:rFonts w:ascii="Times New Roman" w:hAnsi="Times New Roman"/>
          <w:sz w:val="24"/>
          <w:szCs w:val="24"/>
          <w:lang w:val="en-US"/>
        </w:rPr>
        <w:t xml:space="preserve"> in the last 24 hours. After that, </w:t>
      </w:r>
      <w:r w:rsidR="00194CD2" w:rsidRPr="00B46CB1">
        <w:rPr>
          <w:rFonts w:ascii="Times New Roman" w:hAnsi="Times New Roman"/>
          <w:sz w:val="24"/>
          <w:szCs w:val="24"/>
          <w:lang w:val="en-US"/>
        </w:rPr>
        <w:t xml:space="preserve">the average score of </w:t>
      </w:r>
      <w:r w:rsidR="00AA3C84" w:rsidRPr="00B46CB1">
        <w:rPr>
          <w:rFonts w:ascii="Times New Roman" w:hAnsi="Times New Roman"/>
          <w:sz w:val="24"/>
          <w:szCs w:val="24"/>
          <w:lang w:val="en-US"/>
        </w:rPr>
        <w:t>two-day</w:t>
      </w:r>
      <w:r w:rsidR="00194CD2" w:rsidRPr="00B46CB1">
        <w:rPr>
          <w:rFonts w:ascii="Times New Roman" w:hAnsi="Times New Roman"/>
          <w:sz w:val="24"/>
          <w:szCs w:val="24"/>
          <w:lang w:val="en-US"/>
        </w:rPr>
        <w:t xml:space="preserve"> iron intake was taken. </w:t>
      </w:r>
      <w:r w:rsidR="00B8289C">
        <w:rPr>
          <w:rFonts w:ascii="Times New Roman" w:hAnsi="Times New Roman"/>
          <w:sz w:val="24"/>
          <w:szCs w:val="24"/>
        </w:rPr>
        <w:t xml:space="preserve">We </w:t>
      </w:r>
      <w:r w:rsidR="00B8289C" w:rsidRPr="0022764E">
        <w:rPr>
          <w:rFonts w:ascii="Times New Roman" w:hAnsi="Times New Roman"/>
          <w:sz w:val="24"/>
          <w:szCs w:val="24"/>
        </w:rPr>
        <w:t>used</w:t>
      </w:r>
      <w:r w:rsidR="00194CD2" w:rsidRPr="0022764E">
        <w:rPr>
          <w:rFonts w:ascii="Times New Roman" w:hAnsi="Times New Roman"/>
          <w:sz w:val="24"/>
          <w:szCs w:val="24"/>
          <w:lang w:val="en-US"/>
        </w:rPr>
        <w:t xml:space="preserve"> food model</w:t>
      </w:r>
      <w:r w:rsidR="00194CD2" w:rsidRPr="00B46CB1">
        <w:rPr>
          <w:rFonts w:ascii="Times New Roman" w:hAnsi="Times New Roman"/>
          <w:i/>
          <w:sz w:val="24"/>
          <w:szCs w:val="24"/>
          <w:lang w:val="en-US"/>
        </w:rPr>
        <w:t xml:space="preserve"> </w:t>
      </w:r>
      <w:r w:rsidR="00194CD2" w:rsidRPr="00B46CB1">
        <w:rPr>
          <w:rFonts w:ascii="Times New Roman" w:hAnsi="Times New Roman"/>
          <w:sz w:val="24"/>
          <w:szCs w:val="24"/>
          <w:lang w:val="en-US"/>
        </w:rPr>
        <w:t>m</w:t>
      </w:r>
      <w:r w:rsidR="00AA3C84" w:rsidRPr="00B46CB1">
        <w:rPr>
          <w:rFonts w:ascii="Times New Roman" w:hAnsi="Times New Roman"/>
          <w:sz w:val="24"/>
          <w:szCs w:val="24"/>
          <w:lang w:val="en-US"/>
        </w:rPr>
        <w:t xml:space="preserve">ethods to collect food </w:t>
      </w:r>
      <w:r w:rsidR="00AA3C84" w:rsidRPr="00B46CB1">
        <w:rPr>
          <w:rFonts w:ascii="Times New Roman" w:hAnsi="Times New Roman"/>
          <w:sz w:val="24"/>
          <w:szCs w:val="24"/>
        </w:rPr>
        <w:t>intake</w:t>
      </w:r>
      <w:r w:rsidR="00194CD2" w:rsidRPr="00B46CB1">
        <w:rPr>
          <w:rFonts w:ascii="Times New Roman" w:hAnsi="Times New Roman"/>
          <w:sz w:val="24"/>
          <w:szCs w:val="24"/>
          <w:lang w:val="en-US"/>
        </w:rPr>
        <w:t xml:space="preserve"> data. </w:t>
      </w:r>
    </w:p>
    <w:p w:rsidR="00846B4B" w:rsidRPr="00B46CB1" w:rsidRDefault="002157BE"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lastRenderedPageBreak/>
        <w:t xml:space="preserve">The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prevalence was diagnosed</w:t>
      </w:r>
      <w:r w:rsidR="00846B4B" w:rsidRPr="00B46CB1">
        <w:rPr>
          <w:rFonts w:ascii="Times New Roman" w:hAnsi="Times New Roman"/>
          <w:sz w:val="24"/>
          <w:szCs w:val="24"/>
          <w:lang w:val="en-US"/>
        </w:rPr>
        <w:t xml:space="preserve"> by measuring</w:t>
      </w:r>
      <w:r w:rsidR="00B8289C">
        <w:rPr>
          <w:rFonts w:ascii="Times New Roman" w:hAnsi="Times New Roman"/>
          <w:sz w:val="24"/>
          <w:szCs w:val="24"/>
        </w:rPr>
        <w:t xml:space="preserve"> </w:t>
      </w:r>
      <w:proofErr w:type="spellStart"/>
      <w:r w:rsidRPr="00B46CB1">
        <w:rPr>
          <w:rFonts w:ascii="Times New Roman" w:hAnsi="Times New Roman"/>
          <w:sz w:val="24"/>
          <w:szCs w:val="24"/>
          <w:lang w:val="en-US"/>
        </w:rPr>
        <w:t>haemoglobin</w:t>
      </w:r>
      <w:proofErr w:type="spellEnd"/>
      <w:r w:rsidRPr="00B46CB1">
        <w:rPr>
          <w:rFonts w:ascii="Times New Roman" w:hAnsi="Times New Roman"/>
          <w:sz w:val="24"/>
          <w:szCs w:val="24"/>
          <w:lang w:val="en-US"/>
        </w:rPr>
        <w:t xml:space="preserve"> concentration using hemoglobin photometer test strip. It was defined as anemia if </w:t>
      </w:r>
      <w:r w:rsidR="00CA448D" w:rsidRPr="00B46CB1">
        <w:rPr>
          <w:rFonts w:ascii="Times New Roman" w:hAnsi="Times New Roman"/>
          <w:sz w:val="24"/>
          <w:szCs w:val="24"/>
          <w:lang w:val="en-US"/>
        </w:rPr>
        <w:t xml:space="preserve">blood </w:t>
      </w:r>
      <w:proofErr w:type="spellStart"/>
      <w:r w:rsidR="00CA448D" w:rsidRPr="00B46CB1">
        <w:rPr>
          <w:rFonts w:ascii="Times New Roman" w:hAnsi="Times New Roman"/>
          <w:sz w:val="24"/>
          <w:szCs w:val="24"/>
          <w:lang w:val="en-US"/>
        </w:rPr>
        <w:t>haemoglobin</w:t>
      </w:r>
      <w:proofErr w:type="spellEnd"/>
      <w:r w:rsidR="00CA448D" w:rsidRPr="00B46CB1">
        <w:rPr>
          <w:rFonts w:ascii="Times New Roman" w:hAnsi="Times New Roman"/>
          <w:sz w:val="24"/>
          <w:szCs w:val="24"/>
          <w:lang w:val="en-US"/>
        </w:rPr>
        <w:t xml:space="preserve"> level</w:t>
      </w:r>
      <w:r w:rsidR="00FB4732">
        <w:rPr>
          <w:rFonts w:ascii="Times New Roman" w:hAnsi="Times New Roman"/>
          <w:sz w:val="24"/>
          <w:szCs w:val="24"/>
        </w:rPr>
        <w:t xml:space="preserve"> </w:t>
      </w:r>
      <w:r w:rsidRPr="00B46CB1">
        <w:rPr>
          <w:rFonts w:ascii="Times New Roman" w:hAnsi="Times New Roman"/>
          <w:sz w:val="24"/>
          <w:szCs w:val="24"/>
          <w:lang w:val="en-US"/>
        </w:rPr>
        <w:t>&lt;</w:t>
      </w:r>
      <w:r w:rsidR="00FB4732">
        <w:rPr>
          <w:rFonts w:ascii="Times New Roman" w:hAnsi="Times New Roman"/>
          <w:sz w:val="24"/>
          <w:szCs w:val="24"/>
        </w:rPr>
        <w:t xml:space="preserve"> </w:t>
      </w:r>
      <w:r w:rsidRPr="00B46CB1">
        <w:rPr>
          <w:rFonts w:ascii="Times New Roman" w:hAnsi="Times New Roman"/>
          <w:sz w:val="24"/>
          <w:szCs w:val="24"/>
          <w:lang w:val="en-US"/>
        </w:rPr>
        <w:t xml:space="preserve">12 gr%, and not as anemia if </w:t>
      </w:r>
      <w:r w:rsidR="00CA448D" w:rsidRPr="00B46CB1">
        <w:rPr>
          <w:rFonts w:ascii="Times New Roman" w:hAnsi="Times New Roman"/>
          <w:sz w:val="24"/>
          <w:szCs w:val="24"/>
          <w:lang w:val="en-US"/>
        </w:rPr>
        <w:t xml:space="preserve">blood </w:t>
      </w:r>
      <w:proofErr w:type="spellStart"/>
      <w:r w:rsidR="00CA448D" w:rsidRPr="00B46CB1">
        <w:rPr>
          <w:rFonts w:ascii="Times New Roman" w:hAnsi="Times New Roman"/>
          <w:sz w:val="24"/>
          <w:szCs w:val="24"/>
          <w:lang w:val="en-US"/>
        </w:rPr>
        <w:t>haemoglobin</w:t>
      </w:r>
      <w:proofErr w:type="spellEnd"/>
      <w:r w:rsidR="00CA448D" w:rsidRPr="00B46CB1">
        <w:rPr>
          <w:rFonts w:ascii="Times New Roman" w:hAnsi="Times New Roman"/>
          <w:sz w:val="24"/>
          <w:szCs w:val="24"/>
          <w:lang w:val="en-US"/>
        </w:rPr>
        <w:t xml:space="preserve"> level</w:t>
      </w:r>
      <w:r w:rsidR="00D2724E">
        <w:rPr>
          <w:rFonts w:ascii="Times New Roman" w:hAnsi="Times New Roman"/>
          <w:sz w:val="24"/>
          <w:szCs w:val="24"/>
        </w:rPr>
        <w:t xml:space="preserve"> </w:t>
      </w:r>
      <w:r w:rsidRPr="00B46CB1">
        <w:rPr>
          <w:rFonts w:ascii="Times New Roman" w:hAnsi="Times New Roman"/>
          <w:sz w:val="24"/>
          <w:szCs w:val="24"/>
          <w:lang w:val="en-US"/>
        </w:rPr>
        <w:t>≥</w:t>
      </w:r>
      <w:r w:rsidR="00D2724E">
        <w:rPr>
          <w:rFonts w:ascii="Times New Roman" w:hAnsi="Times New Roman"/>
          <w:sz w:val="24"/>
          <w:szCs w:val="24"/>
        </w:rPr>
        <w:t xml:space="preserve"> </w:t>
      </w:r>
      <w:r w:rsidRPr="00B46CB1">
        <w:rPr>
          <w:rFonts w:ascii="Times New Roman" w:hAnsi="Times New Roman"/>
          <w:sz w:val="24"/>
          <w:szCs w:val="24"/>
          <w:lang w:val="en-US"/>
        </w:rPr>
        <w:t>12 gr%.</w:t>
      </w:r>
    </w:p>
    <w:p w:rsidR="002157BE" w:rsidRDefault="008A4892"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t xml:space="preserve">In collecting the data, </w:t>
      </w:r>
      <w:r w:rsidR="00B8289C">
        <w:rPr>
          <w:rFonts w:ascii="Times New Roman" w:hAnsi="Times New Roman"/>
          <w:sz w:val="24"/>
          <w:szCs w:val="24"/>
        </w:rPr>
        <w:t>we</w:t>
      </w:r>
      <w:r w:rsidRPr="00B46CB1">
        <w:rPr>
          <w:rFonts w:ascii="Times New Roman" w:hAnsi="Times New Roman"/>
          <w:sz w:val="24"/>
          <w:szCs w:val="24"/>
          <w:lang w:val="en-US"/>
        </w:rPr>
        <w:t xml:space="preserve"> </w:t>
      </w:r>
      <w:r w:rsidR="00E00AB3" w:rsidRPr="00B46CB1">
        <w:rPr>
          <w:rFonts w:ascii="Times New Roman" w:hAnsi="Times New Roman"/>
          <w:sz w:val="24"/>
          <w:szCs w:val="24"/>
          <w:lang w:val="en-US"/>
        </w:rPr>
        <w:t>assisted by 4 enumerators</w:t>
      </w:r>
      <w:r w:rsidR="00AE27B9" w:rsidRPr="00B46CB1">
        <w:rPr>
          <w:rFonts w:ascii="Times New Roman" w:hAnsi="Times New Roman"/>
          <w:sz w:val="24"/>
          <w:szCs w:val="24"/>
          <w:lang w:val="en-US"/>
        </w:rPr>
        <w:t xml:space="preserve"> who had been previously briefed and trained. Then, the data were statistically analyzed by using </w:t>
      </w:r>
      <w:r w:rsidR="00AE27B9" w:rsidRPr="009C111F">
        <w:rPr>
          <w:rFonts w:ascii="Times New Roman" w:hAnsi="Times New Roman"/>
          <w:sz w:val="24"/>
          <w:szCs w:val="24"/>
          <w:lang w:val="en-US"/>
        </w:rPr>
        <w:t>chi square and fisher</w:t>
      </w:r>
      <w:r w:rsidRPr="009C111F">
        <w:rPr>
          <w:rFonts w:ascii="Times New Roman" w:hAnsi="Times New Roman"/>
          <w:sz w:val="24"/>
          <w:szCs w:val="24"/>
          <w:lang w:val="en-US"/>
        </w:rPr>
        <w:t>’s</w:t>
      </w:r>
      <w:r w:rsidR="00AE27B9" w:rsidRPr="009C111F">
        <w:rPr>
          <w:rFonts w:ascii="Times New Roman" w:hAnsi="Times New Roman"/>
          <w:sz w:val="24"/>
          <w:szCs w:val="24"/>
          <w:lang w:val="en-US"/>
        </w:rPr>
        <w:t xml:space="preserve"> exact test with reliability 95% (p&lt;0.05). This study was conducted a</w:t>
      </w:r>
      <w:r w:rsidR="00AE27B9" w:rsidRPr="00B46CB1">
        <w:rPr>
          <w:rFonts w:ascii="Times New Roman" w:hAnsi="Times New Roman"/>
          <w:sz w:val="24"/>
          <w:szCs w:val="24"/>
          <w:lang w:val="en-US"/>
        </w:rPr>
        <w:t xml:space="preserve">fter the letter of research ethical </w:t>
      </w:r>
      <w:r w:rsidR="00AA3C84" w:rsidRPr="00B46CB1">
        <w:rPr>
          <w:rFonts w:ascii="Times New Roman" w:hAnsi="Times New Roman"/>
          <w:sz w:val="24"/>
          <w:szCs w:val="24"/>
          <w:lang w:val="en-US"/>
        </w:rPr>
        <w:t>clearance</w:t>
      </w:r>
      <w:r w:rsidR="00AE27B9" w:rsidRPr="00B46CB1">
        <w:rPr>
          <w:rFonts w:ascii="Times New Roman" w:hAnsi="Times New Roman"/>
          <w:sz w:val="24"/>
          <w:szCs w:val="24"/>
          <w:lang w:val="en-US"/>
        </w:rPr>
        <w:t xml:space="preserve"> from the Ethic Committee of Medical Faculty of Lampung University </w:t>
      </w:r>
      <w:r w:rsidR="00B8289C">
        <w:rPr>
          <w:rFonts w:ascii="Times New Roman" w:hAnsi="Times New Roman"/>
          <w:sz w:val="24"/>
          <w:szCs w:val="24"/>
        </w:rPr>
        <w:t xml:space="preserve">with </w:t>
      </w:r>
      <w:r w:rsidR="00AE27B9" w:rsidRPr="00B46CB1">
        <w:rPr>
          <w:rFonts w:ascii="Times New Roman" w:hAnsi="Times New Roman"/>
          <w:sz w:val="24"/>
          <w:szCs w:val="24"/>
          <w:lang w:val="en-US"/>
        </w:rPr>
        <w:t xml:space="preserve">number 1913/UN26/8/DL/2016 was issued. </w:t>
      </w:r>
    </w:p>
    <w:p w:rsidR="003E5301" w:rsidRPr="00B46CB1" w:rsidRDefault="003E5301" w:rsidP="00C5236D">
      <w:pPr>
        <w:spacing w:after="0" w:line="360" w:lineRule="auto"/>
        <w:ind w:firstLine="567"/>
        <w:jc w:val="both"/>
        <w:rPr>
          <w:rFonts w:ascii="Times New Roman" w:hAnsi="Times New Roman"/>
          <w:sz w:val="24"/>
          <w:szCs w:val="24"/>
          <w:lang w:val="en-US"/>
        </w:rPr>
      </w:pPr>
    </w:p>
    <w:p w:rsidR="00790812" w:rsidRDefault="00B46CB1" w:rsidP="00C5236D">
      <w:pPr>
        <w:spacing w:after="0" w:line="360" w:lineRule="auto"/>
        <w:jc w:val="both"/>
        <w:rPr>
          <w:rFonts w:ascii="Times New Roman" w:hAnsi="Times New Roman"/>
          <w:b/>
          <w:sz w:val="24"/>
          <w:szCs w:val="24"/>
          <w:lang w:val="en-US"/>
        </w:rPr>
      </w:pPr>
      <w:r>
        <w:rPr>
          <w:rFonts w:ascii="Times New Roman" w:hAnsi="Times New Roman"/>
          <w:b/>
          <w:sz w:val="24"/>
          <w:szCs w:val="24"/>
        </w:rPr>
        <w:t xml:space="preserve">3. </w:t>
      </w:r>
      <w:r w:rsidRPr="00B46CB1">
        <w:rPr>
          <w:rFonts w:ascii="Times New Roman" w:hAnsi="Times New Roman"/>
          <w:b/>
          <w:sz w:val="24"/>
          <w:szCs w:val="24"/>
          <w:lang w:val="en-US"/>
        </w:rPr>
        <w:t>Result</w:t>
      </w:r>
    </w:p>
    <w:p w:rsidR="003E5301" w:rsidRDefault="003E5301" w:rsidP="00C5236D">
      <w:pPr>
        <w:spacing w:after="0" w:line="360" w:lineRule="auto"/>
        <w:jc w:val="both"/>
        <w:rPr>
          <w:rFonts w:ascii="Times New Roman" w:hAnsi="Times New Roman"/>
          <w:b/>
          <w:sz w:val="24"/>
          <w:szCs w:val="24"/>
        </w:rPr>
      </w:pPr>
      <w:r>
        <w:rPr>
          <w:rFonts w:ascii="Times New Roman" w:hAnsi="Times New Roman"/>
          <w:b/>
          <w:sz w:val="24"/>
          <w:szCs w:val="24"/>
        </w:rPr>
        <w:t>Table 1. The association of chronic energy malnutrition and iron intake with anemia in women of childbearing age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511"/>
        <w:gridCol w:w="636"/>
        <w:gridCol w:w="576"/>
        <w:gridCol w:w="645"/>
        <w:gridCol w:w="576"/>
        <w:gridCol w:w="636"/>
        <w:gridCol w:w="856"/>
        <w:gridCol w:w="789"/>
        <w:gridCol w:w="857"/>
        <w:gridCol w:w="1030"/>
      </w:tblGrid>
      <w:tr w:rsidR="00B631DF" w:rsidRPr="00B46CB1" w:rsidTr="003E5301">
        <w:tc>
          <w:tcPr>
            <w:tcW w:w="2244" w:type="dxa"/>
            <w:vMerge w:val="restart"/>
            <w:tcBorders>
              <w:top w:val="single" w:sz="4" w:space="0" w:color="auto"/>
            </w:tcBorders>
            <w:vAlign w:val="center"/>
          </w:tcPr>
          <w:p w:rsidR="00D63D36" w:rsidRPr="00B46CB1" w:rsidRDefault="00292C24" w:rsidP="00B46CB1">
            <w:pPr>
              <w:jc w:val="center"/>
              <w:rPr>
                <w:rFonts w:ascii="Times New Roman" w:hAnsi="Times New Roman"/>
                <w:sz w:val="24"/>
                <w:szCs w:val="24"/>
                <w:lang w:val="en-US"/>
              </w:rPr>
            </w:pPr>
            <w:r w:rsidRPr="00B46CB1">
              <w:rPr>
                <w:rFonts w:ascii="Times New Roman" w:hAnsi="Times New Roman"/>
                <w:sz w:val="24"/>
                <w:szCs w:val="24"/>
                <w:lang w:val="en-US"/>
              </w:rPr>
              <w:t>Variable</w:t>
            </w:r>
          </w:p>
        </w:tc>
        <w:tc>
          <w:tcPr>
            <w:tcW w:w="2368" w:type="dxa"/>
            <w:gridSpan w:val="4"/>
            <w:tcBorders>
              <w:top w:val="single" w:sz="4" w:space="0" w:color="auto"/>
            </w:tcBorders>
          </w:tcPr>
          <w:p w:rsidR="00D63D36" w:rsidRPr="00B46CB1" w:rsidRDefault="00644DC4" w:rsidP="00B46CB1">
            <w:pPr>
              <w:jc w:val="center"/>
              <w:rPr>
                <w:rFonts w:ascii="Times New Roman" w:hAnsi="Times New Roman"/>
                <w:sz w:val="24"/>
                <w:szCs w:val="24"/>
                <w:lang w:val="en-US"/>
              </w:rPr>
            </w:pPr>
            <w:r>
              <w:rPr>
                <w:rFonts w:ascii="Times New Roman" w:hAnsi="Times New Roman"/>
                <w:sz w:val="24"/>
                <w:szCs w:val="24"/>
                <w:lang w:val="en-US"/>
              </w:rPr>
              <w:t>Anemia</w:t>
            </w:r>
          </w:p>
        </w:tc>
        <w:tc>
          <w:tcPr>
            <w:tcW w:w="1212" w:type="dxa"/>
            <w:gridSpan w:val="2"/>
            <w:vMerge w:val="restart"/>
            <w:tcBorders>
              <w:top w:val="single" w:sz="4" w:space="0" w:color="auto"/>
            </w:tcBorders>
            <w:vAlign w:val="center"/>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Total</w:t>
            </w:r>
          </w:p>
        </w:tc>
        <w:tc>
          <w:tcPr>
            <w:tcW w:w="856" w:type="dxa"/>
            <w:vMerge w:val="restart"/>
            <w:tcBorders>
              <w:top w:val="single" w:sz="4" w:space="0" w:color="auto"/>
            </w:tcBorders>
            <w:vAlign w:val="center"/>
          </w:tcPr>
          <w:p w:rsidR="00D63D36" w:rsidRPr="00B46CB1" w:rsidRDefault="00D63D36" w:rsidP="00B46CB1">
            <w:pPr>
              <w:jc w:val="center"/>
              <w:rPr>
                <w:rFonts w:ascii="Times New Roman" w:hAnsi="Times New Roman"/>
                <w:sz w:val="24"/>
                <w:szCs w:val="24"/>
                <w:vertAlign w:val="superscript"/>
                <w:lang w:val="en-US"/>
              </w:rPr>
            </w:pPr>
            <w:r w:rsidRPr="00B46CB1">
              <w:rPr>
                <w:rFonts w:ascii="Times New Roman" w:hAnsi="Times New Roman"/>
                <w:sz w:val="24"/>
                <w:szCs w:val="24"/>
                <w:lang w:val="en-US"/>
              </w:rPr>
              <w:t>X</w:t>
            </w:r>
            <w:r w:rsidRPr="00B46CB1">
              <w:rPr>
                <w:rFonts w:ascii="Times New Roman" w:hAnsi="Times New Roman"/>
                <w:sz w:val="24"/>
                <w:szCs w:val="24"/>
                <w:vertAlign w:val="superscript"/>
                <w:lang w:val="en-US"/>
              </w:rPr>
              <w:t>2</w:t>
            </w:r>
          </w:p>
        </w:tc>
        <w:tc>
          <w:tcPr>
            <w:tcW w:w="789" w:type="dxa"/>
            <w:vMerge w:val="restart"/>
            <w:tcBorders>
              <w:top w:val="single" w:sz="4" w:space="0" w:color="auto"/>
            </w:tcBorders>
            <w:vAlign w:val="center"/>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OR</w:t>
            </w:r>
          </w:p>
        </w:tc>
        <w:tc>
          <w:tcPr>
            <w:tcW w:w="857" w:type="dxa"/>
            <w:vMerge w:val="restart"/>
            <w:tcBorders>
              <w:top w:val="single" w:sz="4" w:space="0" w:color="auto"/>
            </w:tcBorders>
            <w:vAlign w:val="center"/>
          </w:tcPr>
          <w:p w:rsidR="00D63D36" w:rsidRPr="00B46CB1" w:rsidRDefault="00D63D36" w:rsidP="00B46CB1">
            <w:pPr>
              <w:jc w:val="center"/>
              <w:rPr>
                <w:rFonts w:ascii="Times New Roman" w:hAnsi="Times New Roman"/>
                <w:i/>
                <w:sz w:val="24"/>
                <w:szCs w:val="24"/>
                <w:lang w:val="en-US"/>
              </w:rPr>
            </w:pPr>
            <w:r w:rsidRPr="00B46CB1">
              <w:rPr>
                <w:rFonts w:ascii="Times New Roman" w:hAnsi="Times New Roman"/>
                <w:i/>
                <w:sz w:val="24"/>
                <w:szCs w:val="24"/>
                <w:lang w:val="en-US"/>
              </w:rPr>
              <w:t>p value</w:t>
            </w:r>
          </w:p>
        </w:tc>
        <w:tc>
          <w:tcPr>
            <w:tcW w:w="1030" w:type="dxa"/>
            <w:tcBorders>
              <w:top w:val="single" w:sz="4" w:space="0" w:color="auto"/>
            </w:tcBorders>
          </w:tcPr>
          <w:p w:rsidR="00D63D36" w:rsidRPr="00B46CB1" w:rsidRDefault="00D63D36" w:rsidP="00B46CB1">
            <w:pPr>
              <w:jc w:val="center"/>
              <w:rPr>
                <w:rFonts w:ascii="Times New Roman" w:hAnsi="Times New Roman"/>
                <w:i/>
                <w:sz w:val="24"/>
                <w:szCs w:val="24"/>
                <w:lang w:val="en-US"/>
              </w:rPr>
            </w:pPr>
          </w:p>
        </w:tc>
      </w:tr>
      <w:tr w:rsidR="00B631DF" w:rsidRPr="00B46CB1" w:rsidTr="003E5301">
        <w:tc>
          <w:tcPr>
            <w:tcW w:w="2244" w:type="dxa"/>
            <w:vMerge/>
          </w:tcPr>
          <w:p w:rsidR="00D63D36" w:rsidRPr="00B46CB1" w:rsidRDefault="00D63D36" w:rsidP="00B46CB1">
            <w:pPr>
              <w:jc w:val="both"/>
              <w:rPr>
                <w:rFonts w:ascii="Times New Roman" w:hAnsi="Times New Roman"/>
                <w:sz w:val="24"/>
                <w:szCs w:val="24"/>
                <w:lang w:val="en-US"/>
              </w:rPr>
            </w:pPr>
          </w:p>
        </w:tc>
        <w:tc>
          <w:tcPr>
            <w:tcW w:w="1147" w:type="dxa"/>
            <w:gridSpan w:val="2"/>
          </w:tcPr>
          <w:p w:rsidR="00D63D36" w:rsidRPr="00B46CB1" w:rsidRDefault="00292C24" w:rsidP="00B46CB1">
            <w:pPr>
              <w:jc w:val="center"/>
              <w:rPr>
                <w:rFonts w:ascii="Times New Roman" w:hAnsi="Times New Roman"/>
                <w:sz w:val="24"/>
                <w:szCs w:val="24"/>
                <w:lang w:val="en-US"/>
              </w:rPr>
            </w:pPr>
            <w:r w:rsidRPr="00B46CB1">
              <w:rPr>
                <w:rFonts w:ascii="Times New Roman" w:hAnsi="Times New Roman"/>
                <w:sz w:val="24"/>
                <w:szCs w:val="24"/>
                <w:lang w:val="en-US"/>
              </w:rPr>
              <w:t>Yes</w:t>
            </w:r>
          </w:p>
        </w:tc>
        <w:tc>
          <w:tcPr>
            <w:tcW w:w="1221" w:type="dxa"/>
            <w:gridSpan w:val="2"/>
          </w:tcPr>
          <w:p w:rsidR="00D63D36" w:rsidRPr="00B46CB1" w:rsidRDefault="00292C24" w:rsidP="00B46CB1">
            <w:pPr>
              <w:jc w:val="center"/>
              <w:rPr>
                <w:rFonts w:ascii="Times New Roman" w:hAnsi="Times New Roman"/>
                <w:sz w:val="24"/>
                <w:szCs w:val="24"/>
                <w:lang w:val="en-US"/>
              </w:rPr>
            </w:pPr>
            <w:r w:rsidRPr="00B46CB1">
              <w:rPr>
                <w:rFonts w:ascii="Times New Roman" w:hAnsi="Times New Roman"/>
                <w:sz w:val="24"/>
                <w:szCs w:val="24"/>
                <w:lang w:val="en-US"/>
              </w:rPr>
              <w:t>No</w:t>
            </w:r>
          </w:p>
        </w:tc>
        <w:tc>
          <w:tcPr>
            <w:tcW w:w="1212" w:type="dxa"/>
            <w:gridSpan w:val="2"/>
            <w:vMerge/>
          </w:tcPr>
          <w:p w:rsidR="00D63D36" w:rsidRPr="00B46CB1" w:rsidRDefault="00D63D36" w:rsidP="00B46CB1">
            <w:pPr>
              <w:jc w:val="both"/>
              <w:rPr>
                <w:rFonts w:ascii="Times New Roman" w:hAnsi="Times New Roman"/>
                <w:sz w:val="24"/>
                <w:szCs w:val="24"/>
                <w:lang w:val="en-US"/>
              </w:rPr>
            </w:pPr>
          </w:p>
        </w:tc>
        <w:tc>
          <w:tcPr>
            <w:tcW w:w="856" w:type="dxa"/>
            <w:vMerge/>
          </w:tcPr>
          <w:p w:rsidR="00D63D36" w:rsidRPr="00B46CB1" w:rsidRDefault="00D63D36" w:rsidP="00B46CB1">
            <w:pPr>
              <w:jc w:val="both"/>
              <w:rPr>
                <w:rFonts w:ascii="Times New Roman" w:hAnsi="Times New Roman"/>
                <w:sz w:val="24"/>
                <w:szCs w:val="24"/>
                <w:lang w:val="en-US"/>
              </w:rPr>
            </w:pPr>
          </w:p>
        </w:tc>
        <w:tc>
          <w:tcPr>
            <w:tcW w:w="789" w:type="dxa"/>
            <w:vMerge/>
          </w:tcPr>
          <w:p w:rsidR="00D63D36" w:rsidRPr="00B46CB1" w:rsidRDefault="00D63D36" w:rsidP="00B46CB1">
            <w:pPr>
              <w:jc w:val="both"/>
              <w:rPr>
                <w:rFonts w:ascii="Times New Roman" w:hAnsi="Times New Roman"/>
                <w:sz w:val="24"/>
                <w:szCs w:val="24"/>
                <w:lang w:val="en-US"/>
              </w:rPr>
            </w:pPr>
          </w:p>
        </w:tc>
        <w:tc>
          <w:tcPr>
            <w:tcW w:w="857" w:type="dxa"/>
            <w:vMerge/>
          </w:tcPr>
          <w:p w:rsidR="00D63D36" w:rsidRPr="00B46CB1" w:rsidRDefault="00D63D36" w:rsidP="00B46CB1">
            <w:pPr>
              <w:jc w:val="both"/>
              <w:rPr>
                <w:rFonts w:ascii="Times New Roman" w:hAnsi="Times New Roman"/>
                <w:sz w:val="24"/>
                <w:szCs w:val="24"/>
                <w:lang w:val="en-US"/>
              </w:rPr>
            </w:pPr>
          </w:p>
        </w:tc>
        <w:tc>
          <w:tcPr>
            <w:tcW w:w="1030" w:type="dxa"/>
          </w:tcPr>
          <w:p w:rsidR="00D63D36" w:rsidRPr="00B46CB1" w:rsidRDefault="00D63D36" w:rsidP="00B46CB1">
            <w:pPr>
              <w:jc w:val="both"/>
              <w:rPr>
                <w:rFonts w:ascii="Times New Roman" w:hAnsi="Times New Roman"/>
                <w:sz w:val="24"/>
                <w:szCs w:val="24"/>
                <w:lang w:val="en-US"/>
              </w:rPr>
            </w:pPr>
            <w:r w:rsidRPr="00B46CB1">
              <w:rPr>
                <w:rFonts w:ascii="Times New Roman" w:hAnsi="Times New Roman"/>
                <w:sz w:val="24"/>
                <w:szCs w:val="24"/>
                <w:lang w:val="en-US"/>
              </w:rPr>
              <w:t>95% CI</w:t>
            </w:r>
          </w:p>
        </w:tc>
      </w:tr>
      <w:tr w:rsidR="00B631DF" w:rsidRPr="00B46CB1" w:rsidTr="003E5301">
        <w:tc>
          <w:tcPr>
            <w:tcW w:w="2244" w:type="dxa"/>
            <w:vMerge/>
            <w:tcBorders>
              <w:bottom w:val="single" w:sz="4" w:space="0" w:color="auto"/>
            </w:tcBorders>
          </w:tcPr>
          <w:p w:rsidR="00D63D36" w:rsidRPr="00B46CB1" w:rsidRDefault="00D63D36" w:rsidP="00B46CB1">
            <w:pPr>
              <w:jc w:val="both"/>
              <w:rPr>
                <w:rFonts w:ascii="Times New Roman" w:hAnsi="Times New Roman"/>
                <w:sz w:val="24"/>
                <w:szCs w:val="24"/>
                <w:lang w:val="en-US"/>
              </w:rPr>
            </w:pPr>
          </w:p>
        </w:tc>
        <w:tc>
          <w:tcPr>
            <w:tcW w:w="511" w:type="dxa"/>
            <w:tcBorders>
              <w:bottom w:val="single" w:sz="4" w:space="0" w:color="auto"/>
            </w:tcBorders>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n</w:t>
            </w:r>
          </w:p>
        </w:tc>
        <w:tc>
          <w:tcPr>
            <w:tcW w:w="636" w:type="dxa"/>
            <w:tcBorders>
              <w:bottom w:val="single" w:sz="4" w:space="0" w:color="auto"/>
            </w:tcBorders>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w:t>
            </w:r>
          </w:p>
        </w:tc>
        <w:tc>
          <w:tcPr>
            <w:tcW w:w="576" w:type="dxa"/>
            <w:tcBorders>
              <w:bottom w:val="single" w:sz="4" w:space="0" w:color="auto"/>
            </w:tcBorders>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n</w:t>
            </w:r>
          </w:p>
        </w:tc>
        <w:tc>
          <w:tcPr>
            <w:tcW w:w="645" w:type="dxa"/>
            <w:tcBorders>
              <w:bottom w:val="single" w:sz="4" w:space="0" w:color="auto"/>
            </w:tcBorders>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w:t>
            </w:r>
          </w:p>
        </w:tc>
        <w:tc>
          <w:tcPr>
            <w:tcW w:w="576" w:type="dxa"/>
            <w:tcBorders>
              <w:bottom w:val="single" w:sz="4" w:space="0" w:color="auto"/>
            </w:tcBorders>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n</w:t>
            </w:r>
          </w:p>
        </w:tc>
        <w:tc>
          <w:tcPr>
            <w:tcW w:w="636" w:type="dxa"/>
            <w:tcBorders>
              <w:bottom w:val="single" w:sz="4" w:space="0" w:color="auto"/>
            </w:tcBorders>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w:t>
            </w:r>
          </w:p>
        </w:tc>
        <w:tc>
          <w:tcPr>
            <w:tcW w:w="856" w:type="dxa"/>
            <w:tcBorders>
              <w:bottom w:val="single" w:sz="4" w:space="0" w:color="auto"/>
            </w:tcBorders>
          </w:tcPr>
          <w:p w:rsidR="00D63D36" w:rsidRPr="00B46CB1" w:rsidRDefault="00D63D36" w:rsidP="00B46CB1">
            <w:pPr>
              <w:jc w:val="both"/>
              <w:rPr>
                <w:rFonts w:ascii="Times New Roman" w:hAnsi="Times New Roman"/>
                <w:sz w:val="24"/>
                <w:szCs w:val="24"/>
                <w:lang w:val="en-US"/>
              </w:rPr>
            </w:pPr>
          </w:p>
        </w:tc>
        <w:tc>
          <w:tcPr>
            <w:tcW w:w="789" w:type="dxa"/>
            <w:tcBorders>
              <w:bottom w:val="single" w:sz="4" w:space="0" w:color="auto"/>
            </w:tcBorders>
          </w:tcPr>
          <w:p w:rsidR="00D63D36" w:rsidRPr="00B46CB1" w:rsidRDefault="00D63D36" w:rsidP="00B46CB1">
            <w:pPr>
              <w:jc w:val="both"/>
              <w:rPr>
                <w:rFonts w:ascii="Times New Roman" w:hAnsi="Times New Roman"/>
                <w:sz w:val="24"/>
                <w:szCs w:val="24"/>
                <w:lang w:val="en-US"/>
              </w:rPr>
            </w:pPr>
          </w:p>
        </w:tc>
        <w:tc>
          <w:tcPr>
            <w:tcW w:w="857" w:type="dxa"/>
            <w:tcBorders>
              <w:bottom w:val="single" w:sz="4" w:space="0" w:color="auto"/>
            </w:tcBorders>
          </w:tcPr>
          <w:p w:rsidR="00D63D36" w:rsidRPr="00B46CB1" w:rsidRDefault="00D63D36" w:rsidP="00B46CB1">
            <w:pPr>
              <w:jc w:val="both"/>
              <w:rPr>
                <w:rFonts w:ascii="Times New Roman" w:hAnsi="Times New Roman"/>
                <w:sz w:val="24"/>
                <w:szCs w:val="24"/>
                <w:lang w:val="en-US"/>
              </w:rPr>
            </w:pPr>
          </w:p>
        </w:tc>
        <w:tc>
          <w:tcPr>
            <w:tcW w:w="1030" w:type="dxa"/>
            <w:tcBorders>
              <w:bottom w:val="single" w:sz="4" w:space="0" w:color="auto"/>
            </w:tcBorders>
          </w:tcPr>
          <w:p w:rsidR="00D63D36" w:rsidRPr="00B46CB1" w:rsidRDefault="00D63D36" w:rsidP="00B46CB1">
            <w:pPr>
              <w:jc w:val="both"/>
              <w:rPr>
                <w:rFonts w:ascii="Times New Roman" w:hAnsi="Times New Roman"/>
                <w:sz w:val="24"/>
                <w:szCs w:val="24"/>
                <w:lang w:val="en-US"/>
              </w:rPr>
            </w:pPr>
          </w:p>
        </w:tc>
      </w:tr>
      <w:tr w:rsidR="00B631DF" w:rsidRPr="00B46CB1" w:rsidTr="003E5301">
        <w:tc>
          <w:tcPr>
            <w:tcW w:w="2244" w:type="dxa"/>
            <w:tcBorders>
              <w:top w:val="single" w:sz="4" w:space="0" w:color="auto"/>
            </w:tcBorders>
          </w:tcPr>
          <w:p w:rsidR="00D63D36" w:rsidRPr="00B8289C" w:rsidRDefault="00AE27B9" w:rsidP="00B8289C">
            <w:pPr>
              <w:jc w:val="both"/>
              <w:rPr>
                <w:rFonts w:ascii="Times New Roman" w:hAnsi="Times New Roman"/>
                <w:sz w:val="24"/>
                <w:szCs w:val="24"/>
              </w:rPr>
            </w:pPr>
            <w:r w:rsidRPr="00B46CB1">
              <w:rPr>
                <w:rFonts w:ascii="Times New Roman" w:hAnsi="Times New Roman"/>
                <w:sz w:val="24"/>
                <w:szCs w:val="24"/>
                <w:lang w:val="en-US"/>
              </w:rPr>
              <w:t xml:space="preserve">Chronic Energy </w:t>
            </w:r>
            <w:r w:rsidR="00B8289C">
              <w:rPr>
                <w:rFonts w:ascii="Times New Roman" w:hAnsi="Times New Roman"/>
                <w:sz w:val="24"/>
                <w:szCs w:val="24"/>
              </w:rPr>
              <w:t>Malnutrition</w:t>
            </w:r>
          </w:p>
        </w:tc>
        <w:tc>
          <w:tcPr>
            <w:tcW w:w="511"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636"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576"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645"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576"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636"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856"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789"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857"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c>
          <w:tcPr>
            <w:tcW w:w="1030" w:type="dxa"/>
            <w:tcBorders>
              <w:top w:val="single" w:sz="4" w:space="0" w:color="auto"/>
            </w:tcBorders>
          </w:tcPr>
          <w:p w:rsidR="00D63D36" w:rsidRPr="00B46CB1" w:rsidRDefault="00D63D36" w:rsidP="00B46CB1">
            <w:pPr>
              <w:jc w:val="center"/>
              <w:rPr>
                <w:rFonts w:ascii="Times New Roman" w:hAnsi="Times New Roman"/>
                <w:sz w:val="24"/>
                <w:szCs w:val="24"/>
                <w:lang w:val="en-US"/>
              </w:rPr>
            </w:pPr>
          </w:p>
        </w:tc>
      </w:tr>
      <w:tr w:rsidR="00B631DF" w:rsidRPr="00B46CB1" w:rsidTr="003E5301">
        <w:tc>
          <w:tcPr>
            <w:tcW w:w="2244" w:type="dxa"/>
          </w:tcPr>
          <w:p w:rsidR="00D63D36" w:rsidRPr="00B46CB1" w:rsidRDefault="00AE27B9" w:rsidP="00B46CB1">
            <w:pPr>
              <w:pStyle w:val="ListParagraph"/>
              <w:numPr>
                <w:ilvl w:val="0"/>
                <w:numId w:val="3"/>
              </w:numPr>
              <w:spacing w:after="0" w:line="240" w:lineRule="auto"/>
              <w:jc w:val="both"/>
              <w:rPr>
                <w:rFonts w:ascii="Times New Roman" w:hAnsi="Times New Roman"/>
                <w:sz w:val="24"/>
                <w:szCs w:val="24"/>
                <w:lang w:val="en-US"/>
              </w:rPr>
            </w:pPr>
            <w:r w:rsidRPr="00B46CB1">
              <w:rPr>
                <w:rFonts w:ascii="Times New Roman" w:hAnsi="Times New Roman"/>
                <w:sz w:val="24"/>
                <w:szCs w:val="24"/>
                <w:lang w:val="en-US"/>
              </w:rPr>
              <w:t>Yes</w:t>
            </w:r>
          </w:p>
        </w:tc>
        <w:tc>
          <w:tcPr>
            <w:tcW w:w="511"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29</w:t>
            </w:r>
          </w:p>
        </w:tc>
        <w:tc>
          <w:tcPr>
            <w:tcW w:w="63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15,8</w:t>
            </w:r>
          </w:p>
        </w:tc>
        <w:tc>
          <w:tcPr>
            <w:tcW w:w="57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52</w:t>
            </w:r>
          </w:p>
        </w:tc>
        <w:tc>
          <w:tcPr>
            <w:tcW w:w="645"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28,4</w:t>
            </w:r>
          </w:p>
        </w:tc>
        <w:tc>
          <w:tcPr>
            <w:tcW w:w="57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81</w:t>
            </w:r>
          </w:p>
        </w:tc>
        <w:tc>
          <w:tcPr>
            <w:tcW w:w="63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44,3</w:t>
            </w:r>
          </w:p>
        </w:tc>
        <w:tc>
          <w:tcPr>
            <w:tcW w:w="856" w:type="dxa"/>
          </w:tcPr>
          <w:p w:rsidR="00D63D36" w:rsidRPr="00B46CB1" w:rsidRDefault="00D63D36" w:rsidP="00B46CB1">
            <w:pPr>
              <w:jc w:val="center"/>
              <w:rPr>
                <w:rFonts w:ascii="Times New Roman" w:hAnsi="Times New Roman"/>
                <w:sz w:val="24"/>
                <w:szCs w:val="24"/>
                <w:vertAlign w:val="superscript"/>
                <w:lang w:val="en-US"/>
              </w:rPr>
            </w:pPr>
            <w:r w:rsidRPr="00B46CB1">
              <w:rPr>
                <w:rFonts w:ascii="Times New Roman" w:hAnsi="Times New Roman"/>
                <w:sz w:val="24"/>
                <w:szCs w:val="24"/>
                <w:lang w:val="en-US"/>
              </w:rPr>
              <w:t>5,24</w:t>
            </w:r>
            <w:r w:rsidRPr="00B46CB1">
              <w:rPr>
                <w:rFonts w:ascii="Times New Roman" w:hAnsi="Times New Roman"/>
                <w:sz w:val="24"/>
                <w:szCs w:val="24"/>
                <w:vertAlign w:val="superscript"/>
                <w:lang w:val="en-US"/>
              </w:rPr>
              <w:t>a</w:t>
            </w:r>
          </w:p>
        </w:tc>
        <w:tc>
          <w:tcPr>
            <w:tcW w:w="789"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2,3</w:t>
            </w:r>
          </w:p>
        </w:tc>
        <w:tc>
          <w:tcPr>
            <w:tcW w:w="857" w:type="dxa"/>
          </w:tcPr>
          <w:p w:rsidR="00D63D36" w:rsidRPr="00B46CB1" w:rsidRDefault="00D63D36" w:rsidP="00B46CB1">
            <w:pPr>
              <w:jc w:val="center"/>
              <w:rPr>
                <w:rFonts w:ascii="Times New Roman" w:hAnsi="Times New Roman"/>
                <w:sz w:val="24"/>
                <w:szCs w:val="24"/>
                <w:vertAlign w:val="superscript"/>
                <w:lang w:val="en-US"/>
              </w:rPr>
            </w:pPr>
            <w:r w:rsidRPr="00B46CB1">
              <w:rPr>
                <w:rFonts w:ascii="Times New Roman" w:hAnsi="Times New Roman"/>
                <w:sz w:val="24"/>
                <w:szCs w:val="24"/>
                <w:lang w:val="en-US"/>
              </w:rPr>
              <w:t>0,02</w:t>
            </w:r>
            <w:r w:rsidRPr="00B46CB1">
              <w:rPr>
                <w:rFonts w:ascii="Times New Roman" w:hAnsi="Times New Roman"/>
                <w:sz w:val="24"/>
                <w:szCs w:val="24"/>
                <w:vertAlign w:val="superscript"/>
                <w:lang w:val="en-US"/>
              </w:rPr>
              <w:t>*</w:t>
            </w:r>
          </w:p>
        </w:tc>
        <w:tc>
          <w:tcPr>
            <w:tcW w:w="1030" w:type="dxa"/>
          </w:tcPr>
          <w:p w:rsidR="00D63D36"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1,17-4,45</w:t>
            </w:r>
          </w:p>
        </w:tc>
      </w:tr>
      <w:tr w:rsidR="00B631DF" w:rsidRPr="00B46CB1" w:rsidTr="003E5301">
        <w:tc>
          <w:tcPr>
            <w:tcW w:w="2244" w:type="dxa"/>
          </w:tcPr>
          <w:p w:rsidR="00D63D36" w:rsidRPr="00B46CB1" w:rsidRDefault="00AE27B9" w:rsidP="00B46CB1">
            <w:pPr>
              <w:pStyle w:val="ListParagraph"/>
              <w:numPr>
                <w:ilvl w:val="0"/>
                <w:numId w:val="3"/>
              </w:numPr>
              <w:spacing w:after="0" w:line="240" w:lineRule="auto"/>
              <w:jc w:val="both"/>
              <w:rPr>
                <w:rFonts w:ascii="Times New Roman" w:hAnsi="Times New Roman"/>
                <w:sz w:val="24"/>
                <w:szCs w:val="24"/>
                <w:lang w:val="en-US"/>
              </w:rPr>
            </w:pPr>
            <w:r w:rsidRPr="00B46CB1">
              <w:rPr>
                <w:rFonts w:ascii="Times New Roman" w:hAnsi="Times New Roman"/>
                <w:sz w:val="24"/>
                <w:szCs w:val="24"/>
                <w:lang w:val="en-US"/>
              </w:rPr>
              <w:t>No</w:t>
            </w:r>
          </w:p>
        </w:tc>
        <w:tc>
          <w:tcPr>
            <w:tcW w:w="511"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20</w:t>
            </w:r>
          </w:p>
        </w:tc>
        <w:tc>
          <w:tcPr>
            <w:tcW w:w="63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10,9</w:t>
            </w:r>
          </w:p>
        </w:tc>
        <w:tc>
          <w:tcPr>
            <w:tcW w:w="57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82</w:t>
            </w:r>
          </w:p>
        </w:tc>
        <w:tc>
          <w:tcPr>
            <w:tcW w:w="645"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44,8</w:t>
            </w:r>
          </w:p>
        </w:tc>
        <w:tc>
          <w:tcPr>
            <w:tcW w:w="57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102</w:t>
            </w:r>
          </w:p>
        </w:tc>
        <w:tc>
          <w:tcPr>
            <w:tcW w:w="636" w:type="dxa"/>
          </w:tcPr>
          <w:p w:rsidR="00D63D36" w:rsidRPr="00B46CB1" w:rsidRDefault="00D63D36" w:rsidP="00B46CB1">
            <w:pPr>
              <w:jc w:val="center"/>
              <w:rPr>
                <w:rFonts w:ascii="Times New Roman" w:hAnsi="Times New Roman"/>
                <w:sz w:val="24"/>
                <w:szCs w:val="24"/>
                <w:lang w:val="en-US"/>
              </w:rPr>
            </w:pPr>
            <w:r w:rsidRPr="00B46CB1">
              <w:rPr>
                <w:rFonts w:ascii="Times New Roman" w:hAnsi="Times New Roman"/>
                <w:sz w:val="24"/>
                <w:szCs w:val="24"/>
                <w:lang w:val="en-US"/>
              </w:rPr>
              <w:t>55,7</w:t>
            </w:r>
          </w:p>
        </w:tc>
        <w:tc>
          <w:tcPr>
            <w:tcW w:w="856" w:type="dxa"/>
          </w:tcPr>
          <w:p w:rsidR="00D63D36" w:rsidRPr="00B46CB1" w:rsidRDefault="00D63D36" w:rsidP="00B46CB1">
            <w:pPr>
              <w:jc w:val="center"/>
              <w:rPr>
                <w:rFonts w:ascii="Times New Roman" w:hAnsi="Times New Roman"/>
                <w:sz w:val="24"/>
                <w:szCs w:val="24"/>
                <w:lang w:val="en-US"/>
              </w:rPr>
            </w:pPr>
          </w:p>
        </w:tc>
        <w:tc>
          <w:tcPr>
            <w:tcW w:w="789" w:type="dxa"/>
          </w:tcPr>
          <w:p w:rsidR="00D63D36" w:rsidRPr="00B46CB1" w:rsidRDefault="00D63D36" w:rsidP="00B46CB1">
            <w:pPr>
              <w:jc w:val="center"/>
              <w:rPr>
                <w:rFonts w:ascii="Times New Roman" w:hAnsi="Times New Roman"/>
                <w:sz w:val="24"/>
                <w:szCs w:val="24"/>
                <w:lang w:val="en-US"/>
              </w:rPr>
            </w:pPr>
          </w:p>
        </w:tc>
        <w:tc>
          <w:tcPr>
            <w:tcW w:w="857" w:type="dxa"/>
          </w:tcPr>
          <w:p w:rsidR="00D63D36" w:rsidRPr="00B46CB1" w:rsidRDefault="00D63D36" w:rsidP="00B46CB1">
            <w:pPr>
              <w:jc w:val="center"/>
              <w:rPr>
                <w:rFonts w:ascii="Times New Roman" w:hAnsi="Times New Roman"/>
                <w:sz w:val="24"/>
                <w:szCs w:val="24"/>
                <w:lang w:val="en-US"/>
              </w:rPr>
            </w:pPr>
          </w:p>
        </w:tc>
        <w:tc>
          <w:tcPr>
            <w:tcW w:w="1030" w:type="dxa"/>
          </w:tcPr>
          <w:p w:rsidR="00D63D36" w:rsidRPr="00B46CB1" w:rsidRDefault="00D63D36" w:rsidP="00B46CB1">
            <w:pPr>
              <w:jc w:val="center"/>
              <w:rPr>
                <w:rFonts w:ascii="Times New Roman" w:hAnsi="Times New Roman"/>
                <w:sz w:val="24"/>
                <w:szCs w:val="24"/>
                <w:lang w:val="en-US"/>
              </w:rPr>
            </w:pPr>
          </w:p>
        </w:tc>
      </w:tr>
      <w:tr w:rsidR="00B631DF" w:rsidRPr="00B46CB1" w:rsidTr="003E5301">
        <w:tc>
          <w:tcPr>
            <w:tcW w:w="2244" w:type="dxa"/>
          </w:tcPr>
          <w:p w:rsidR="00D63D36" w:rsidRPr="00B46CB1" w:rsidRDefault="00AE27B9" w:rsidP="00B46CB1">
            <w:pPr>
              <w:jc w:val="both"/>
              <w:rPr>
                <w:rFonts w:ascii="Times New Roman" w:hAnsi="Times New Roman"/>
                <w:sz w:val="24"/>
                <w:szCs w:val="24"/>
                <w:lang w:val="en-US"/>
              </w:rPr>
            </w:pPr>
            <w:r w:rsidRPr="00B46CB1">
              <w:rPr>
                <w:rFonts w:ascii="Times New Roman" w:hAnsi="Times New Roman"/>
                <w:sz w:val="24"/>
                <w:szCs w:val="24"/>
                <w:lang w:val="en-US"/>
              </w:rPr>
              <w:t>Iron Intake</w:t>
            </w:r>
          </w:p>
        </w:tc>
        <w:tc>
          <w:tcPr>
            <w:tcW w:w="511" w:type="dxa"/>
          </w:tcPr>
          <w:p w:rsidR="00D63D36" w:rsidRPr="00B46CB1" w:rsidRDefault="00D63D36" w:rsidP="00B46CB1">
            <w:pPr>
              <w:jc w:val="center"/>
              <w:rPr>
                <w:rFonts w:ascii="Times New Roman" w:hAnsi="Times New Roman"/>
                <w:sz w:val="24"/>
                <w:szCs w:val="24"/>
                <w:lang w:val="en-US"/>
              </w:rPr>
            </w:pPr>
          </w:p>
        </w:tc>
        <w:tc>
          <w:tcPr>
            <w:tcW w:w="636" w:type="dxa"/>
          </w:tcPr>
          <w:p w:rsidR="00D63D36" w:rsidRPr="00B46CB1" w:rsidRDefault="00D63D36" w:rsidP="00B46CB1">
            <w:pPr>
              <w:jc w:val="center"/>
              <w:rPr>
                <w:rFonts w:ascii="Times New Roman" w:hAnsi="Times New Roman"/>
                <w:sz w:val="24"/>
                <w:szCs w:val="24"/>
                <w:lang w:val="en-US"/>
              </w:rPr>
            </w:pPr>
          </w:p>
        </w:tc>
        <w:tc>
          <w:tcPr>
            <w:tcW w:w="576" w:type="dxa"/>
          </w:tcPr>
          <w:p w:rsidR="00D63D36" w:rsidRPr="00B46CB1" w:rsidRDefault="00D63D36" w:rsidP="00B46CB1">
            <w:pPr>
              <w:jc w:val="center"/>
              <w:rPr>
                <w:rFonts w:ascii="Times New Roman" w:hAnsi="Times New Roman"/>
                <w:sz w:val="24"/>
                <w:szCs w:val="24"/>
                <w:lang w:val="en-US"/>
              </w:rPr>
            </w:pPr>
          </w:p>
        </w:tc>
        <w:tc>
          <w:tcPr>
            <w:tcW w:w="645" w:type="dxa"/>
          </w:tcPr>
          <w:p w:rsidR="00D63D36" w:rsidRPr="00B46CB1" w:rsidRDefault="00D63D36" w:rsidP="00B46CB1">
            <w:pPr>
              <w:jc w:val="center"/>
              <w:rPr>
                <w:rFonts w:ascii="Times New Roman" w:hAnsi="Times New Roman"/>
                <w:sz w:val="24"/>
                <w:szCs w:val="24"/>
                <w:lang w:val="en-US"/>
              </w:rPr>
            </w:pPr>
          </w:p>
        </w:tc>
        <w:tc>
          <w:tcPr>
            <w:tcW w:w="576" w:type="dxa"/>
          </w:tcPr>
          <w:p w:rsidR="00D63D36" w:rsidRPr="00B46CB1" w:rsidRDefault="00D63D36" w:rsidP="00B46CB1">
            <w:pPr>
              <w:jc w:val="center"/>
              <w:rPr>
                <w:rFonts w:ascii="Times New Roman" w:hAnsi="Times New Roman"/>
                <w:sz w:val="24"/>
                <w:szCs w:val="24"/>
                <w:lang w:val="en-US"/>
              </w:rPr>
            </w:pPr>
          </w:p>
        </w:tc>
        <w:tc>
          <w:tcPr>
            <w:tcW w:w="636" w:type="dxa"/>
          </w:tcPr>
          <w:p w:rsidR="00D63D36" w:rsidRPr="00B46CB1" w:rsidRDefault="00D63D36" w:rsidP="00B46CB1">
            <w:pPr>
              <w:jc w:val="center"/>
              <w:rPr>
                <w:rFonts w:ascii="Times New Roman" w:hAnsi="Times New Roman"/>
                <w:sz w:val="24"/>
                <w:szCs w:val="24"/>
                <w:lang w:val="en-US"/>
              </w:rPr>
            </w:pPr>
          </w:p>
        </w:tc>
        <w:tc>
          <w:tcPr>
            <w:tcW w:w="856" w:type="dxa"/>
          </w:tcPr>
          <w:p w:rsidR="00D63D36" w:rsidRPr="00B46CB1" w:rsidRDefault="00D63D36" w:rsidP="00B46CB1">
            <w:pPr>
              <w:jc w:val="center"/>
              <w:rPr>
                <w:rFonts w:ascii="Times New Roman" w:hAnsi="Times New Roman"/>
                <w:sz w:val="24"/>
                <w:szCs w:val="24"/>
                <w:lang w:val="en-US"/>
              </w:rPr>
            </w:pPr>
          </w:p>
        </w:tc>
        <w:tc>
          <w:tcPr>
            <w:tcW w:w="789" w:type="dxa"/>
          </w:tcPr>
          <w:p w:rsidR="00D63D36" w:rsidRPr="00B46CB1" w:rsidRDefault="00D63D36" w:rsidP="00B46CB1">
            <w:pPr>
              <w:jc w:val="center"/>
              <w:rPr>
                <w:rFonts w:ascii="Times New Roman" w:hAnsi="Times New Roman"/>
                <w:sz w:val="24"/>
                <w:szCs w:val="24"/>
                <w:lang w:val="en-US"/>
              </w:rPr>
            </w:pPr>
          </w:p>
        </w:tc>
        <w:tc>
          <w:tcPr>
            <w:tcW w:w="857" w:type="dxa"/>
          </w:tcPr>
          <w:p w:rsidR="00D63D36" w:rsidRPr="00B46CB1" w:rsidRDefault="00D63D36" w:rsidP="00B46CB1">
            <w:pPr>
              <w:jc w:val="center"/>
              <w:rPr>
                <w:rFonts w:ascii="Times New Roman" w:hAnsi="Times New Roman"/>
                <w:sz w:val="24"/>
                <w:szCs w:val="24"/>
                <w:lang w:val="en-US"/>
              </w:rPr>
            </w:pPr>
          </w:p>
        </w:tc>
        <w:tc>
          <w:tcPr>
            <w:tcW w:w="1030" w:type="dxa"/>
          </w:tcPr>
          <w:p w:rsidR="00D63D36" w:rsidRPr="00B46CB1" w:rsidRDefault="00D63D36" w:rsidP="00B46CB1">
            <w:pPr>
              <w:jc w:val="center"/>
              <w:rPr>
                <w:rFonts w:ascii="Times New Roman" w:hAnsi="Times New Roman"/>
                <w:sz w:val="24"/>
                <w:szCs w:val="24"/>
                <w:lang w:val="en-US"/>
              </w:rPr>
            </w:pPr>
          </w:p>
        </w:tc>
      </w:tr>
      <w:tr w:rsidR="00B631DF" w:rsidRPr="00B46CB1" w:rsidTr="003E5301">
        <w:tc>
          <w:tcPr>
            <w:tcW w:w="2244" w:type="dxa"/>
          </w:tcPr>
          <w:p w:rsidR="00352BED" w:rsidRPr="00B46CB1" w:rsidRDefault="00B8289C" w:rsidP="00B46CB1">
            <w:pPr>
              <w:pStyle w:val="ListParagraph"/>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Less Intake</w:t>
            </w:r>
          </w:p>
        </w:tc>
        <w:tc>
          <w:tcPr>
            <w:tcW w:w="511"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48</w:t>
            </w:r>
          </w:p>
        </w:tc>
        <w:tc>
          <w:tcPr>
            <w:tcW w:w="636"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26,2</w:t>
            </w:r>
          </w:p>
        </w:tc>
        <w:tc>
          <w:tcPr>
            <w:tcW w:w="576"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127</w:t>
            </w:r>
          </w:p>
        </w:tc>
        <w:tc>
          <w:tcPr>
            <w:tcW w:w="645"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69,4</w:t>
            </w:r>
          </w:p>
        </w:tc>
        <w:tc>
          <w:tcPr>
            <w:tcW w:w="576"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175</w:t>
            </w:r>
          </w:p>
        </w:tc>
        <w:tc>
          <w:tcPr>
            <w:tcW w:w="636"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95,6</w:t>
            </w:r>
          </w:p>
        </w:tc>
        <w:tc>
          <w:tcPr>
            <w:tcW w:w="856"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,870</w:t>
            </w:r>
            <w:r w:rsidRPr="00B46CB1">
              <w:rPr>
                <w:rFonts w:ascii="Times New Roman" w:hAnsi="Times New Roman"/>
                <w:sz w:val="24"/>
                <w:szCs w:val="24"/>
                <w:vertAlign w:val="superscript"/>
                <w:lang w:val="en-US"/>
              </w:rPr>
              <w:t>b</w:t>
            </w:r>
          </w:p>
        </w:tc>
        <w:tc>
          <w:tcPr>
            <w:tcW w:w="789"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2,6</w:t>
            </w:r>
          </w:p>
        </w:tc>
        <w:tc>
          <w:tcPr>
            <w:tcW w:w="857"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0,64</w:t>
            </w:r>
          </w:p>
        </w:tc>
        <w:tc>
          <w:tcPr>
            <w:tcW w:w="1030" w:type="dxa"/>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0,31-22,07</w:t>
            </w:r>
          </w:p>
        </w:tc>
      </w:tr>
      <w:tr w:rsidR="00B631DF" w:rsidRPr="00B46CB1" w:rsidTr="003E5301">
        <w:tc>
          <w:tcPr>
            <w:tcW w:w="2244" w:type="dxa"/>
            <w:tcBorders>
              <w:bottom w:val="single" w:sz="4" w:space="0" w:color="auto"/>
            </w:tcBorders>
          </w:tcPr>
          <w:p w:rsidR="00352BED" w:rsidRPr="00B46CB1" w:rsidRDefault="00AE27B9" w:rsidP="00B46CB1">
            <w:pPr>
              <w:pStyle w:val="ListParagraph"/>
              <w:numPr>
                <w:ilvl w:val="0"/>
                <w:numId w:val="4"/>
              </w:numPr>
              <w:spacing w:after="0" w:line="240" w:lineRule="auto"/>
              <w:jc w:val="both"/>
              <w:rPr>
                <w:rFonts w:ascii="Times New Roman" w:hAnsi="Times New Roman"/>
                <w:sz w:val="24"/>
                <w:szCs w:val="24"/>
                <w:lang w:val="en-US"/>
              </w:rPr>
            </w:pPr>
            <w:r w:rsidRPr="00B46CB1">
              <w:rPr>
                <w:rFonts w:ascii="Times New Roman" w:hAnsi="Times New Roman"/>
                <w:sz w:val="24"/>
                <w:szCs w:val="24"/>
                <w:lang w:val="en-US"/>
              </w:rPr>
              <w:t>Sufficient</w:t>
            </w:r>
          </w:p>
        </w:tc>
        <w:tc>
          <w:tcPr>
            <w:tcW w:w="511"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1</w:t>
            </w:r>
          </w:p>
        </w:tc>
        <w:tc>
          <w:tcPr>
            <w:tcW w:w="636"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0,5</w:t>
            </w:r>
          </w:p>
        </w:tc>
        <w:tc>
          <w:tcPr>
            <w:tcW w:w="576"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7</w:t>
            </w:r>
          </w:p>
        </w:tc>
        <w:tc>
          <w:tcPr>
            <w:tcW w:w="645"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3,8</w:t>
            </w:r>
          </w:p>
        </w:tc>
        <w:tc>
          <w:tcPr>
            <w:tcW w:w="576"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8</w:t>
            </w:r>
          </w:p>
        </w:tc>
        <w:tc>
          <w:tcPr>
            <w:tcW w:w="636"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r w:rsidRPr="00B46CB1">
              <w:rPr>
                <w:rFonts w:ascii="Times New Roman" w:hAnsi="Times New Roman"/>
                <w:sz w:val="24"/>
                <w:szCs w:val="24"/>
                <w:lang w:val="en-US"/>
              </w:rPr>
              <w:t>4,4</w:t>
            </w:r>
          </w:p>
        </w:tc>
        <w:tc>
          <w:tcPr>
            <w:tcW w:w="856"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p>
        </w:tc>
        <w:tc>
          <w:tcPr>
            <w:tcW w:w="789"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p>
        </w:tc>
        <w:tc>
          <w:tcPr>
            <w:tcW w:w="857"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p>
        </w:tc>
        <w:tc>
          <w:tcPr>
            <w:tcW w:w="1030" w:type="dxa"/>
            <w:tcBorders>
              <w:bottom w:val="single" w:sz="4" w:space="0" w:color="auto"/>
            </w:tcBorders>
          </w:tcPr>
          <w:p w:rsidR="00352BED" w:rsidRPr="00B46CB1" w:rsidRDefault="00352BED" w:rsidP="00B46CB1">
            <w:pPr>
              <w:jc w:val="center"/>
              <w:rPr>
                <w:rFonts w:ascii="Times New Roman" w:hAnsi="Times New Roman"/>
                <w:sz w:val="24"/>
                <w:szCs w:val="24"/>
                <w:lang w:val="en-US"/>
              </w:rPr>
            </w:pPr>
          </w:p>
        </w:tc>
      </w:tr>
    </w:tbl>
    <w:p w:rsidR="00C475B0" w:rsidRPr="00B46CB1" w:rsidRDefault="000D5635" w:rsidP="00B46CB1">
      <w:pPr>
        <w:spacing w:after="0" w:line="240" w:lineRule="auto"/>
        <w:jc w:val="both"/>
        <w:rPr>
          <w:rFonts w:ascii="Times New Roman" w:hAnsi="Times New Roman"/>
          <w:sz w:val="24"/>
          <w:szCs w:val="24"/>
          <w:lang w:val="en-US"/>
        </w:rPr>
      </w:pPr>
      <w:r w:rsidRPr="00B46CB1">
        <w:rPr>
          <w:rFonts w:ascii="Times New Roman" w:hAnsi="Times New Roman"/>
          <w:sz w:val="24"/>
          <w:szCs w:val="24"/>
        </w:rPr>
        <w:tab/>
      </w:r>
      <w:r w:rsidR="00326874" w:rsidRPr="00B46CB1">
        <w:rPr>
          <w:rFonts w:ascii="Times New Roman" w:hAnsi="Times New Roman"/>
          <w:sz w:val="24"/>
          <w:szCs w:val="24"/>
          <w:lang w:val="en-US"/>
        </w:rPr>
        <w:tab/>
      </w:r>
      <w:r w:rsidR="00326874" w:rsidRPr="00B46CB1">
        <w:rPr>
          <w:rFonts w:ascii="Times New Roman" w:hAnsi="Times New Roman"/>
          <w:sz w:val="24"/>
          <w:szCs w:val="24"/>
          <w:vertAlign w:val="superscript"/>
          <w:lang w:val="en-US"/>
        </w:rPr>
        <w:t>a</w:t>
      </w:r>
      <w:r w:rsidR="00292C24" w:rsidRPr="00B46CB1">
        <w:rPr>
          <w:rFonts w:ascii="Times New Roman" w:hAnsi="Times New Roman"/>
          <w:sz w:val="24"/>
          <w:szCs w:val="24"/>
          <w:lang w:val="en-US"/>
        </w:rPr>
        <w:t>=</w:t>
      </w:r>
      <w:r w:rsidR="00326874" w:rsidRPr="00B46CB1">
        <w:rPr>
          <w:rFonts w:ascii="Times New Roman" w:hAnsi="Times New Roman"/>
          <w:sz w:val="24"/>
          <w:szCs w:val="24"/>
          <w:lang w:val="en-US"/>
        </w:rPr>
        <w:t>chi square</w:t>
      </w:r>
      <w:r w:rsidR="00292C24" w:rsidRPr="00B46CB1">
        <w:rPr>
          <w:rFonts w:ascii="Times New Roman" w:hAnsi="Times New Roman"/>
          <w:sz w:val="24"/>
          <w:szCs w:val="24"/>
          <w:lang w:val="en-US"/>
        </w:rPr>
        <w:t xml:space="preserve"> analysis</w:t>
      </w:r>
    </w:p>
    <w:p w:rsidR="00326874" w:rsidRPr="00B46CB1" w:rsidRDefault="00326874" w:rsidP="00B46CB1">
      <w:pPr>
        <w:spacing w:after="0" w:line="240" w:lineRule="auto"/>
        <w:jc w:val="both"/>
        <w:rPr>
          <w:rFonts w:ascii="Times New Roman" w:hAnsi="Times New Roman"/>
          <w:sz w:val="24"/>
          <w:szCs w:val="24"/>
          <w:lang w:val="en-US"/>
        </w:rPr>
      </w:pPr>
      <w:r w:rsidRPr="00B46CB1">
        <w:rPr>
          <w:rFonts w:ascii="Times New Roman" w:hAnsi="Times New Roman"/>
          <w:sz w:val="24"/>
          <w:szCs w:val="24"/>
          <w:lang w:val="en-US"/>
        </w:rPr>
        <w:tab/>
      </w:r>
      <w:r w:rsidRPr="00B46CB1">
        <w:rPr>
          <w:rFonts w:ascii="Times New Roman" w:hAnsi="Times New Roman"/>
          <w:sz w:val="24"/>
          <w:szCs w:val="24"/>
          <w:lang w:val="en-US"/>
        </w:rPr>
        <w:tab/>
      </w:r>
      <w:r w:rsidRPr="00B46CB1">
        <w:rPr>
          <w:rFonts w:ascii="Times New Roman" w:hAnsi="Times New Roman"/>
          <w:sz w:val="24"/>
          <w:szCs w:val="24"/>
          <w:vertAlign w:val="superscript"/>
          <w:lang w:val="en-US"/>
        </w:rPr>
        <w:t>b</w:t>
      </w:r>
      <w:r w:rsidR="00292C24" w:rsidRPr="00B46CB1">
        <w:rPr>
          <w:rFonts w:ascii="Times New Roman" w:hAnsi="Times New Roman"/>
          <w:sz w:val="24"/>
          <w:szCs w:val="24"/>
          <w:lang w:val="en-US"/>
        </w:rPr>
        <w:t>=</w:t>
      </w:r>
      <w:r w:rsidRPr="00B46CB1">
        <w:rPr>
          <w:rFonts w:ascii="Times New Roman" w:hAnsi="Times New Roman"/>
          <w:sz w:val="24"/>
          <w:szCs w:val="24"/>
          <w:lang w:val="en-US"/>
        </w:rPr>
        <w:t>fisher exact test</w:t>
      </w:r>
      <w:r w:rsidR="00292C24" w:rsidRPr="00B46CB1">
        <w:rPr>
          <w:rFonts w:ascii="Times New Roman" w:hAnsi="Times New Roman"/>
          <w:sz w:val="24"/>
          <w:szCs w:val="24"/>
          <w:lang w:val="en-US"/>
        </w:rPr>
        <w:t xml:space="preserve"> analysis</w:t>
      </w:r>
    </w:p>
    <w:p w:rsidR="00326874" w:rsidRPr="00B46CB1" w:rsidRDefault="00326874" w:rsidP="00B46CB1">
      <w:pPr>
        <w:spacing w:after="0" w:line="240" w:lineRule="auto"/>
        <w:jc w:val="both"/>
        <w:rPr>
          <w:rFonts w:ascii="Times New Roman" w:hAnsi="Times New Roman"/>
          <w:sz w:val="24"/>
          <w:szCs w:val="24"/>
          <w:lang w:val="en-US"/>
        </w:rPr>
      </w:pPr>
      <w:r w:rsidRPr="00B46CB1">
        <w:rPr>
          <w:rFonts w:ascii="Times New Roman" w:hAnsi="Times New Roman"/>
          <w:sz w:val="24"/>
          <w:szCs w:val="24"/>
          <w:lang w:val="en-US"/>
        </w:rPr>
        <w:tab/>
      </w:r>
      <w:r w:rsidRPr="00B46CB1">
        <w:rPr>
          <w:rFonts w:ascii="Times New Roman" w:hAnsi="Times New Roman"/>
          <w:sz w:val="24"/>
          <w:szCs w:val="24"/>
          <w:lang w:val="en-US"/>
        </w:rPr>
        <w:tab/>
      </w:r>
      <w:r w:rsidRPr="00B46CB1">
        <w:rPr>
          <w:rFonts w:ascii="Times New Roman" w:hAnsi="Times New Roman"/>
          <w:sz w:val="24"/>
          <w:szCs w:val="24"/>
          <w:vertAlign w:val="superscript"/>
          <w:lang w:val="en-US"/>
        </w:rPr>
        <w:t>*</w:t>
      </w:r>
      <w:r w:rsidR="001353C5" w:rsidRPr="00B46CB1">
        <w:rPr>
          <w:rFonts w:ascii="Times New Roman" w:hAnsi="Times New Roman"/>
          <w:sz w:val="24"/>
          <w:szCs w:val="24"/>
          <w:lang w:val="en-US"/>
        </w:rPr>
        <w:t>=significant</w:t>
      </w:r>
      <w:r w:rsidRPr="00B46CB1">
        <w:rPr>
          <w:rFonts w:ascii="Times New Roman" w:hAnsi="Times New Roman"/>
          <w:sz w:val="24"/>
          <w:szCs w:val="24"/>
          <w:lang w:val="en-US"/>
        </w:rPr>
        <w:t xml:space="preserve"> (p&lt;0,05)</w:t>
      </w:r>
    </w:p>
    <w:p w:rsidR="00326874" w:rsidRPr="00B46CB1" w:rsidRDefault="00326874" w:rsidP="00B46CB1">
      <w:pPr>
        <w:spacing w:after="0" w:line="240" w:lineRule="auto"/>
        <w:jc w:val="both"/>
        <w:rPr>
          <w:rFonts w:ascii="Times New Roman" w:hAnsi="Times New Roman"/>
          <w:sz w:val="24"/>
          <w:szCs w:val="24"/>
          <w:lang w:val="en-US"/>
        </w:rPr>
      </w:pPr>
    </w:p>
    <w:p w:rsidR="001353C5" w:rsidRDefault="001353C5" w:rsidP="00C5236D">
      <w:pPr>
        <w:spacing w:after="0" w:line="360" w:lineRule="auto"/>
        <w:ind w:firstLine="567"/>
        <w:jc w:val="both"/>
        <w:rPr>
          <w:rFonts w:ascii="Times New Roman" w:hAnsi="Times New Roman"/>
          <w:sz w:val="24"/>
          <w:szCs w:val="24"/>
          <w:lang w:val="en-US"/>
        </w:rPr>
      </w:pPr>
      <w:r w:rsidRPr="00B46CB1">
        <w:rPr>
          <w:rFonts w:ascii="Times New Roman" w:hAnsi="Times New Roman"/>
          <w:sz w:val="24"/>
          <w:szCs w:val="24"/>
          <w:lang w:val="en-US"/>
        </w:rPr>
        <w:t>The result revealed that there were 49 people (26.8</w:t>
      </w:r>
      <w:r w:rsidR="00FB4732">
        <w:rPr>
          <w:rFonts w:ascii="Times New Roman" w:hAnsi="Times New Roman"/>
          <w:sz w:val="24"/>
          <w:szCs w:val="24"/>
        </w:rPr>
        <w:t>%</w:t>
      </w:r>
      <w:r w:rsidRPr="00B46CB1">
        <w:rPr>
          <w:rFonts w:ascii="Times New Roman" w:hAnsi="Times New Roman"/>
          <w:sz w:val="24"/>
          <w:szCs w:val="24"/>
          <w:lang w:val="en-US"/>
        </w:rPr>
        <w:t xml:space="preserve">) suffered from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while the rest 134 people did not. In addition, there were 81 people (44.3%) in a chronic energy </w:t>
      </w:r>
      <w:r w:rsidR="00B8289C">
        <w:rPr>
          <w:rFonts w:ascii="Times New Roman" w:hAnsi="Times New Roman"/>
          <w:sz w:val="24"/>
          <w:szCs w:val="24"/>
        </w:rPr>
        <w:t>malnutrition</w:t>
      </w:r>
      <w:r w:rsidRPr="00B46CB1">
        <w:rPr>
          <w:rFonts w:ascii="Times New Roman" w:hAnsi="Times New Roman"/>
          <w:sz w:val="24"/>
          <w:szCs w:val="24"/>
          <w:lang w:val="en-US"/>
        </w:rPr>
        <w:t>, while</w:t>
      </w:r>
      <w:r w:rsidR="008A4892" w:rsidRPr="00B46CB1">
        <w:rPr>
          <w:rFonts w:ascii="Times New Roman" w:hAnsi="Times New Roman"/>
          <w:sz w:val="24"/>
          <w:szCs w:val="24"/>
          <w:lang w:val="en-US"/>
        </w:rPr>
        <w:t xml:space="preserve"> the rests had good nutritional</w:t>
      </w:r>
      <w:r w:rsidRPr="00B46CB1">
        <w:rPr>
          <w:rFonts w:ascii="Times New Roman" w:hAnsi="Times New Roman"/>
          <w:sz w:val="24"/>
          <w:szCs w:val="24"/>
          <w:lang w:val="en-US"/>
        </w:rPr>
        <w:t xml:space="preserve"> status or in other words, not suffering from chronic energy deficiency. Most of the subjects had low iron intake, reaching 175 people (95.6%)</w:t>
      </w:r>
      <w:r w:rsidR="00C81408" w:rsidRPr="00B46CB1">
        <w:rPr>
          <w:rFonts w:ascii="Times New Roman" w:hAnsi="Times New Roman"/>
          <w:sz w:val="24"/>
          <w:szCs w:val="24"/>
          <w:lang w:val="en-US"/>
        </w:rPr>
        <w:t xml:space="preserve"> while 8 people had it sufficient.</w:t>
      </w:r>
    </w:p>
    <w:p w:rsidR="00D02F7D" w:rsidRPr="00B46CB1" w:rsidRDefault="00D02F7D"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 xml:space="preserve">The </w:t>
      </w:r>
      <w:r>
        <w:rPr>
          <w:rFonts w:ascii="Times New Roman" w:hAnsi="Times New Roman"/>
          <w:sz w:val="24"/>
          <w:szCs w:val="24"/>
          <w:lang w:val="en-US"/>
        </w:rPr>
        <w:t>anemia</w:t>
      </w:r>
      <w:r w:rsidRPr="00B46CB1">
        <w:rPr>
          <w:rFonts w:ascii="Times New Roman" w:hAnsi="Times New Roman"/>
          <w:sz w:val="24"/>
          <w:szCs w:val="24"/>
          <w:lang w:val="en-US"/>
        </w:rPr>
        <w:t xml:space="preserve"> prevalence in preconception WCA</w:t>
      </w:r>
      <w:r>
        <w:rPr>
          <w:rFonts w:ascii="Times New Roman" w:hAnsi="Times New Roman"/>
          <w:sz w:val="24"/>
          <w:szCs w:val="24"/>
        </w:rPr>
        <w:t xml:space="preserve"> in this study</w:t>
      </w:r>
      <w:r w:rsidRPr="00B46CB1">
        <w:rPr>
          <w:rFonts w:ascii="Times New Roman" w:hAnsi="Times New Roman"/>
          <w:sz w:val="24"/>
          <w:szCs w:val="24"/>
          <w:lang w:val="en-US"/>
        </w:rPr>
        <w:t xml:space="preserve"> reached 26,8% (49 people). This prevalence was relatively higher from the report of Indonesia’s Health Profile where </w:t>
      </w:r>
      <w:r>
        <w:rPr>
          <w:rFonts w:ascii="Times New Roman" w:hAnsi="Times New Roman"/>
          <w:sz w:val="24"/>
          <w:szCs w:val="24"/>
          <w:lang w:val="en-US"/>
        </w:rPr>
        <w:t>anemia</w:t>
      </w:r>
      <w:r w:rsidRPr="00B46CB1">
        <w:rPr>
          <w:rFonts w:ascii="Times New Roman" w:hAnsi="Times New Roman"/>
          <w:sz w:val="24"/>
          <w:szCs w:val="24"/>
          <w:lang w:val="en-US"/>
        </w:rPr>
        <w:t xml:space="preserve"> prevalence in WCA in Lampung Province reached 2</w:t>
      </w:r>
      <w:r>
        <w:rPr>
          <w:rFonts w:ascii="Times New Roman" w:hAnsi="Times New Roman"/>
          <w:sz w:val="24"/>
          <w:szCs w:val="24"/>
          <w:lang w:val="en-US"/>
        </w:rPr>
        <w:t xml:space="preserve">5,90% </w:t>
      </w:r>
      <w:r>
        <w:rPr>
          <w:rFonts w:ascii="Times New Roman" w:hAnsi="Times New Roman"/>
          <w:sz w:val="24"/>
          <w:szCs w:val="24"/>
        </w:rPr>
        <w:t>[2]</w:t>
      </w:r>
      <w:r w:rsidRPr="00B46CB1">
        <w:rPr>
          <w:rFonts w:ascii="Times New Roman" w:hAnsi="Times New Roman"/>
          <w:sz w:val="24"/>
          <w:szCs w:val="24"/>
          <w:lang w:val="en-US"/>
        </w:rPr>
        <w:t>. From this res</w:t>
      </w:r>
      <w:r>
        <w:rPr>
          <w:rFonts w:ascii="Times New Roman" w:hAnsi="Times New Roman"/>
          <w:sz w:val="24"/>
          <w:szCs w:val="24"/>
          <w:lang w:val="en-US"/>
        </w:rPr>
        <w:t>ult, it was clear that 26.8% pre</w:t>
      </w:r>
      <w:r w:rsidRPr="00B46CB1">
        <w:rPr>
          <w:rFonts w:ascii="Times New Roman" w:hAnsi="Times New Roman"/>
          <w:sz w:val="24"/>
          <w:szCs w:val="24"/>
          <w:lang w:val="en-US"/>
        </w:rPr>
        <w:t xml:space="preserve">conception WCA in </w:t>
      </w:r>
      <w:proofErr w:type="spellStart"/>
      <w:r w:rsidRPr="00B46CB1">
        <w:rPr>
          <w:rFonts w:ascii="Times New Roman" w:hAnsi="Times New Roman"/>
          <w:sz w:val="24"/>
          <w:szCs w:val="24"/>
          <w:lang w:val="en-US"/>
        </w:rPr>
        <w:t>Terbanggi</w:t>
      </w:r>
      <w:proofErr w:type="spellEnd"/>
      <w:r>
        <w:rPr>
          <w:rFonts w:ascii="Times New Roman" w:hAnsi="Times New Roman"/>
          <w:sz w:val="24"/>
          <w:szCs w:val="24"/>
        </w:rPr>
        <w:t xml:space="preserve"> </w:t>
      </w:r>
      <w:proofErr w:type="spellStart"/>
      <w:r w:rsidRPr="00B46CB1">
        <w:rPr>
          <w:rFonts w:ascii="Times New Roman" w:hAnsi="Times New Roman"/>
          <w:sz w:val="24"/>
          <w:szCs w:val="24"/>
          <w:lang w:val="en-US"/>
        </w:rPr>
        <w:t>Besar</w:t>
      </w:r>
      <w:proofErr w:type="spellEnd"/>
      <w:r w:rsidRPr="00B46CB1">
        <w:rPr>
          <w:rFonts w:ascii="Times New Roman" w:hAnsi="Times New Roman"/>
          <w:sz w:val="24"/>
          <w:szCs w:val="24"/>
          <w:lang w:val="en-US"/>
        </w:rPr>
        <w:t xml:space="preserve"> district tended to have low immunity and productivity level. In addition, </w:t>
      </w:r>
      <w:r>
        <w:rPr>
          <w:rFonts w:ascii="Times New Roman" w:hAnsi="Times New Roman"/>
          <w:sz w:val="24"/>
          <w:szCs w:val="24"/>
          <w:lang w:val="en-US"/>
        </w:rPr>
        <w:t>anemia</w:t>
      </w:r>
      <w:r w:rsidRPr="00B46CB1">
        <w:rPr>
          <w:rFonts w:ascii="Times New Roman" w:hAnsi="Times New Roman"/>
          <w:sz w:val="24"/>
          <w:szCs w:val="24"/>
          <w:lang w:val="en-US"/>
        </w:rPr>
        <w:t xml:space="preserve"> prevalence in WCA tended to continue to pregnancy period that increased the risk of complication on pregnancy and birth delivery. This condition </w:t>
      </w:r>
      <w:r w:rsidRPr="00B46CB1">
        <w:rPr>
          <w:rFonts w:ascii="Times New Roman" w:hAnsi="Times New Roman"/>
          <w:sz w:val="24"/>
          <w:szCs w:val="24"/>
          <w:lang w:val="en-US"/>
        </w:rPr>
        <w:lastRenderedPageBreak/>
        <w:t>increased the possibility of maternal mortality as well as preterm delivery, low birth weight, and prenatal m</w:t>
      </w:r>
      <w:r>
        <w:rPr>
          <w:rFonts w:ascii="Times New Roman" w:hAnsi="Times New Roman"/>
          <w:sz w:val="24"/>
          <w:szCs w:val="24"/>
          <w:lang w:val="en-US"/>
        </w:rPr>
        <w:t xml:space="preserve">ortality </w:t>
      </w:r>
      <w:r>
        <w:rPr>
          <w:rFonts w:ascii="Times New Roman" w:hAnsi="Times New Roman"/>
          <w:sz w:val="24"/>
          <w:szCs w:val="24"/>
        </w:rPr>
        <w:t>[4]</w:t>
      </w:r>
      <w:r w:rsidRPr="00B46CB1">
        <w:rPr>
          <w:rFonts w:ascii="Times New Roman" w:hAnsi="Times New Roman"/>
          <w:sz w:val="24"/>
          <w:szCs w:val="24"/>
          <w:lang w:val="en-US"/>
        </w:rPr>
        <w:t>.</w:t>
      </w:r>
    </w:p>
    <w:p w:rsidR="00D02F7D" w:rsidRPr="00B46CB1" w:rsidRDefault="00D02F7D"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 xml:space="preserve">The result also showed that chronic energy </w:t>
      </w:r>
      <w:r>
        <w:rPr>
          <w:rFonts w:ascii="Times New Roman" w:hAnsi="Times New Roman"/>
          <w:sz w:val="24"/>
          <w:szCs w:val="24"/>
        </w:rPr>
        <w:t>malnutrition</w:t>
      </w:r>
      <w:r w:rsidRPr="00B46CB1">
        <w:rPr>
          <w:rFonts w:ascii="Times New Roman" w:hAnsi="Times New Roman"/>
          <w:sz w:val="24"/>
          <w:szCs w:val="24"/>
          <w:lang w:val="en-US"/>
        </w:rPr>
        <w:t xml:space="preserve"> (CE</w:t>
      </w:r>
      <w:r>
        <w:rPr>
          <w:rFonts w:ascii="Times New Roman" w:hAnsi="Times New Roman"/>
          <w:sz w:val="24"/>
          <w:szCs w:val="24"/>
        </w:rPr>
        <w:t>M</w:t>
      </w:r>
      <w:r w:rsidRPr="00B46CB1">
        <w:rPr>
          <w:rFonts w:ascii="Times New Roman" w:hAnsi="Times New Roman"/>
          <w:sz w:val="24"/>
          <w:szCs w:val="24"/>
          <w:lang w:val="en-US"/>
        </w:rPr>
        <w:t>) prevalence reached 44.3% (81 people)</w:t>
      </w:r>
      <w:r>
        <w:rPr>
          <w:rFonts w:ascii="Times New Roman" w:hAnsi="Times New Roman"/>
          <w:sz w:val="24"/>
          <w:szCs w:val="24"/>
          <w:lang w:val="en-US"/>
        </w:rPr>
        <w:t>. The C</w:t>
      </w:r>
      <w:r>
        <w:rPr>
          <w:rFonts w:ascii="Times New Roman" w:hAnsi="Times New Roman"/>
          <w:sz w:val="24"/>
          <w:szCs w:val="24"/>
        </w:rPr>
        <w:t>EM</w:t>
      </w:r>
      <w:r w:rsidRPr="00B46CB1">
        <w:rPr>
          <w:rFonts w:ascii="Times New Roman" w:hAnsi="Times New Roman"/>
          <w:sz w:val="24"/>
          <w:szCs w:val="24"/>
          <w:lang w:val="en-US"/>
        </w:rPr>
        <w:t xml:space="preserve"> prevalence in women between the ages of 18-19 was relatively high</w:t>
      </w:r>
      <w:r>
        <w:rPr>
          <w:rFonts w:ascii="Times New Roman" w:hAnsi="Times New Roman"/>
          <w:sz w:val="24"/>
          <w:szCs w:val="24"/>
          <w:lang w:val="en-US"/>
        </w:rPr>
        <w:t xml:space="preserve"> and surpassed the number of CEM</w:t>
      </w:r>
      <w:r w:rsidRPr="00B46CB1">
        <w:rPr>
          <w:rFonts w:ascii="Times New Roman" w:hAnsi="Times New Roman"/>
          <w:sz w:val="24"/>
          <w:szCs w:val="24"/>
          <w:lang w:val="en-US"/>
        </w:rPr>
        <w:t xml:space="preserve"> in non-pregnant WCA nationally because according to Basic Health Research</w:t>
      </w:r>
      <w:r>
        <w:rPr>
          <w:rFonts w:ascii="Times New Roman" w:hAnsi="Times New Roman"/>
          <w:sz w:val="24"/>
          <w:szCs w:val="24"/>
        </w:rPr>
        <w:t xml:space="preserve"> (RISKESDAS)</w:t>
      </w:r>
      <w:r>
        <w:rPr>
          <w:rFonts w:ascii="Times New Roman" w:hAnsi="Times New Roman"/>
          <w:sz w:val="24"/>
          <w:szCs w:val="24"/>
          <w:lang w:val="en-US"/>
        </w:rPr>
        <w:t xml:space="preserve"> in 2013, CEM</w:t>
      </w:r>
      <w:r w:rsidRPr="00B46CB1">
        <w:rPr>
          <w:rFonts w:ascii="Times New Roman" w:hAnsi="Times New Roman"/>
          <w:sz w:val="24"/>
          <w:szCs w:val="24"/>
          <w:lang w:val="en-US"/>
        </w:rPr>
        <w:t xml:space="preserve"> prevalence in pregnant women between the ages of 15-49 in Indonesia reached 24.2% while in non-pregnant women of the same a</w:t>
      </w:r>
      <w:r>
        <w:rPr>
          <w:rFonts w:ascii="Times New Roman" w:hAnsi="Times New Roman"/>
          <w:sz w:val="24"/>
          <w:szCs w:val="24"/>
          <w:lang w:val="en-US"/>
        </w:rPr>
        <w:t>ges reached 20.8%. In total, CEM</w:t>
      </w:r>
      <w:r w:rsidRPr="00B46CB1">
        <w:rPr>
          <w:rFonts w:ascii="Times New Roman" w:hAnsi="Times New Roman"/>
          <w:sz w:val="24"/>
          <w:szCs w:val="24"/>
          <w:lang w:val="en-US"/>
        </w:rPr>
        <w:t xml:space="preserve"> prevalence in all age levels and pregnancy condition (pregnant and non-pregnant)</w:t>
      </w:r>
      <w:r>
        <w:rPr>
          <w:rFonts w:ascii="Times New Roman" w:hAnsi="Times New Roman"/>
          <w:sz w:val="24"/>
          <w:szCs w:val="24"/>
          <w:lang w:val="en-US"/>
        </w:rPr>
        <w:t xml:space="preserve"> from 2007-2013 increased. CEM</w:t>
      </w:r>
      <w:r w:rsidRPr="00B46CB1">
        <w:rPr>
          <w:rFonts w:ascii="Times New Roman" w:hAnsi="Times New Roman"/>
          <w:sz w:val="24"/>
          <w:szCs w:val="24"/>
          <w:lang w:val="en-US"/>
        </w:rPr>
        <w:t xml:space="preserve"> prevalence in pregnant women and WCA between the age of 15-49 in Lampung province reached 21,3% </w:t>
      </w:r>
      <w:proofErr w:type="spellStart"/>
      <w:r w:rsidRPr="00B46CB1">
        <w:rPr>
          <w:rFonts w:ascii="Times New Roman" w:hAnsi="Times New Roman"/>
          <w:sz w:val="24"/>
          <w:szCs w:val="24"/>
          <w:lang w:val="en-US"/>
        </w:rPr>
        <w:t>dan</w:t>
      </w:r>
      <w:proofErr w:type="spellEnd"/>
      <w:r w:rsidRPr="00B46CB1">
        <w:rPr>
          <w:rFonts w:ascii="Times New Roman" w:hAnsi="Times New Roman"/>
          <w:sz w:val="24"/>
          <w:szCs w:val="24"/>
          <w:lang w:val="en-US"/>
        </w:rPr>
        <w:t xml:space="preserve"> 17,6 % respectively, where the highest prevalence was in Central Lampung that reached 52,6% </w:t>
      </w:r>
      <w:r>
        <w:rPr>
          <w:rFonts w:ascii="Times New Roman" w:hAnsi="Times New Roman"/>
          <w:sz w:val="24"/>
          <w:szCs w:val="24"/>
        </w:rPr>
        <w:t>[10]</w:t>
      </w:r>
      <w:r w:rsidRPr="00B46CB1">
        <w:rPr>
          <w:rFonts w:ascii="Times New Roman" w:hAnsi="Times New Roman"/>
          <w:sz w:val="24"/>
          <w:szCs w:val="24"/>
          <w:lang w:val="en-US"/>
        </w:rPr>
        <w:t>.</w:t>
      </w:r>
    </w:p>
    <w:p w:rsidR="00D63D36" w:rsidRPr="00B46CB1" w:rsidRDefault="00C81408" w:rsidP="00C5236D">
      <w:pPr>
        <w:spacing w:after="0" w:line="360" w:lineRule="auto"/>
        <w:ind w:firstLine="567"/>
        <w:jc w:val="both"/>
        <w:rPr>
          <w:rFonts w:ascii="Times New Roman" w:hAnsi="Times New Roman"/>
          <w:sz w:val="24"/>
          <w:szCs w:val="24"/>
          <w:lang w:val="en-US"/>
        </w:rPr>
      </w:pPr>
      <w:r w:rsidRPr="00B46CB1">
        <w:rPr>
          <w:rFonts w:ascii="Times New Roman" w:hAnsi="Times New Roman"/>
          <w:i/>
          <w:sz w:val="24"/>
          <w:szCs w:val="24"/>
          <w:lang w:val="en-US"/>
        </w:rPr>
        <w:t>Chi square</w:t>
      </w:r>
      <w:r w:rsidRPr="00B46CB1">
        <w:rPr>
          <w:rFonts w:ascii="Times New Roman" w:hAnsi="Times New Roman"/>
          <w:sz w:val="24"/>
          <w:szCs w:val="24"/>
          <w:lang w:val="en-US"/>
        </w:rPr>
        <w:t xml:space="preserve"> test revealed that chronic energy </w:t>
      </w:r>
      <w:r w:rsidR="000D5635" w:rsidRPr="00B46CB1">
        <w:rPr>
          <w:rFonts w:ascii="Times New Roman" w:hAnsi="Times New Roman"/>
          <w:sz w:val="24"/>
          <w:szCs w:val="24"/>
          <w:lang w:val="en-US"/>
        </w:rPr>
        <w:t>deficiency</w:t>
      </w:r>
      <w:r w:rsidRPr="00B46CB1">
        <w:rPr>
          <w:rFonts w:ascii="Times New Roman" w:hAnsi="Times New Roman"/>
          <w:sz w:val="24"/>
          <w:szCs w:val="24"/>
          <w:lang w:val="en-US"/>
        </w:rPr>
        <w:t xml:space="preserve"> prevalence had significant </w:t>
      </w:r>
      <w:r w:rsidR="000D5635" w:rsidRPr="00B46CB1">
        <w:rPr>
          <w:rFonts w:ascii="Times New Roman" w:hAnsi="Times New Roman"/>
          <w:sz w:val="24"/>
          <w:szCs w:val="24"/>
          <w:lang w:val="en-US"/>
        </w:rPr>
        <w:t>correlation with</w:t>
      </w:r>
      <w:r w:rsidR="005352BB">
        <w:rPr>
          <w:rFonts w:ascii="Times New Roman" w:hAnsi="Times New Roman"/>
          <w:sz w:val="24"/>
          <w:szCs w:val="24"/>
        </w:rPr>
        <w:t xml:space="preserve">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prevalence in pre-conception Woman of Childbearing Age (</w:t>
      </w:r>
      <w:r w:rsidRPr="00B46CB1">
        <w:rPr>
          <w:rFonts w:ascii="Times New Roman" w:hAnsi="Times New Roman"/>
          <w:i/>
          <w:sz w:val="24"/>
          <w:szCs w:val="24"/>
          <w:lang w:val="en-US"/>
        </w:rPr>
        <w:t>p</w:t>
      </w:r>
      <w:r w:rsidR="00A16EFE">
        <w:rPr>
          <w:rFonts w:ascii="Times New Roman" w:hAnsi="Times New Roman"/>
          <w:i/>
          <w:sz w:val="24"/>
          <w:szCs w:val="24"/>
        </w:rPr>
        <w:t xml:space="preserve"> </w:t>
      </w:r>
      <w:r w:rsidR="00A16EFE">
        <w:rPr>
          <w:rFonts w:ascii="Times New Roman" w:hAnsi="Times New Roman"/>
          <w:sz w:val="24"/>
          <w:szCs w:val="24"/>
        </w:rPr>
        <w:t xml:space="preserve">value </w:t>
      </w:r>
      <w:r w:rsidRPr="00B46CB1">
        <w:rPr>
          <w:rFonts w:ascii="Times New Roman" w:hAnsi="Times New Roman"/>
          <w:sz w:val="24"/>
          <w:szCs w:val="24"/>
          <w:lang w:val="en-US"/>
        </w:rPr>
        <w:t>&lt;</w:t>
      </w:r>
      <w:r w:rsidR="00A16EFE">
        <w:rPr>
          <w:rFonts w:ascii="Times New Roman" w:hAnsi="Times New Roman"/>
          <w:sz w:val="24"/>
          <w:szCs w:val="24"/>
        </w:rPr>
        <w:t xml:space="preserve"> </w:t>
      </w:r>
      <w:r w:rsidRPr="00B46CB1">
        <w:rPr>
          <w:rFonts w:ascii="Times New Roman" w:hAnsi="Times New Roman"/>
          <w:sz w:val="24"/>
          <w:szCs w:val="24"/>
          <w:lang w:val="en-US"/>
        </w:rPr>
        <w:t>0,05, 95% C</w:t>
      </w:r>
      <w:r w:rsidR="00FB4732">
        <w:rPr>
          <w:rFonts w:ascii="Times New Roman" w:hAnsi="Times New Roman"/>
          <w:sz w:val="24"/>
          <w:szCs w:val="24"/>
        </w:rPr>
        <w:t xml:space="preserve">onfidence </w:t>
      </w:r>
      <w:proofErr w:type="gramStart"/>
      <w:r w:rsidRPr="00B46CB1">
        <w:rPr>
          <w:rFonts w:ascii="Times New Roman" w:hAnsi="Times New Roman"/>
          <w:sz w:val="24"/>
          <w:szCs w:val="24"/>
          <w:lang w:val="en-US"/>
        </w:rPr>
        <w:t>I</w:t>
      </w:r>
      <w:r w:rsidR="00FB4732">
        <w:rPr>
          <w:rFonts w:ascii="Times New Roman" w:hAnsi="Times New Roman"/>
          <w:sz w:val="24"/>
          <w:szCs w:val="24"/>
        </w:rPr>
        <w:t>nterval</w:t>
      </w:r>
      <w:r w:rsidRPr="00B46CB1">
        <w:rPr>
          <w:rFonts w:ascii="Times New Roman" w:hAnsi="Times New Roman"/>
          <w:sz w:val="24"/>
          <w:szCs w:val="24"/>
          <w:lang w:val="en-US"/>
        </w:rPr>
        <w:t xml:space="preserve"> :</w:t>
      </w:r>
      <w:proofErr w:type="gramEnd"/>
      <w:r w:rsidRPr="00B46CB1">
        <w:rPr>
          <w:rFonts w:ascii="Times New Roman" w:hAnsi="Times New Roman"/>
          <w:sz w:val="24"/>
          <w:szCs w:val="24"/>
          <w:lang w:val="en-US"/>
        </w:rPr>
        <w:t xml:space="preserve"> 1,17-4,45). </w:t>
      </w:r>
      <w:r w:rsidR="003B157C" w:rsidRPr="00B46CB1">
        <w:rPr>
          <w:rFonts w:ascii="Times New Roman" w:hAnsi="Times New Roman"/>
          <w:sz w:val="24"/>
          <w:szCs w:val="24"/>
          <w:lang w:val="en-US"/>
        </w:rPr>
        <w:t xml:space="preserve">The analyses also revealed that the odds ratio was 2.3; meaning that the subject who suffered from chronic energy deficiency were 2.3 times </w:t>
      </w:r>
      <w:r w:rsidR="00E565C3" w:rsidRPr="00B46CB1">
        <w:rPr>
          <w:rFonts w:ascii="Times New Roman" w:hAnsi="Times New Roman"/>
          <w:sz w:val="24"/>
          <w:szCs w:val="24"/>
          <w:lang w:val="en-US"/>
        </w:rPr>
        <w:t xml:space="preserve">more susceptible to </w:t>
      </w:r>
      <w:r w:rsidR="00644DC4">
        <w:rPr>
          <w:rFonts w:ascii="Times New Roman" w:hAnsi="Times New Roman"/>
          <w:sz w:val="24"/>
          <w:szCs w:val="24"/>
          <w:lang w:val="en-US"/>
        </w:rPr>
        <w:t>anemia</w:t>
      </w:r>
      <w:r w:rsidR="00E565C3" w:rsidRPr="00B46CB1">
        <w:rPr>
          <w:rFonts w:ascii="Times New Roman" w:hAnsi="Times New Roman"/>
          <w:sz w:val="24"/>
          <w:szCs w:val="24"/>
          <w:lang w:val="en-US"/>
        </w:rPr>
        <w:t xml:space="preserve"> compared to those who did not suffer from the </w:t>
      </w:r>
      <w:r w:rsidR="00FB4732">
        <w:rPr>
          <w:rFonts w:ascii="Times New Roman" w:hAnsi="Times New Roman"/>
          <w:sz w:val="24"/>
          <w:szCs w:val="24"/>
        </w:rPr>
        <w:t>chronic energy malnutrition</w:t>
      </w:r>
      <w:r w:rsidR="00E565C3" w:rsidRPr="00B46CB1">
        <w:rPr>
          <w:rFonts w:ascii="Times New Roman" w:hAnsi="Times New Roman"/>
          <w:sz w:val="24"/>
          <w:szCs w:val="24"/>
          <w:lang w:val="en-US"/>
        </w:rPr>
        <w:t xml:space="preserve">. In addition, </w:t>
      </w:r>
      <w:r w:rsidR="00E565C3" w:rsidRPr="00B46CB1">
        <w:rPr>
          <w:rFonts w:ascii="Times New Roman" w:hAnsi="Times New Roman"/>
          <w:i/>
          <w:sz w:val="24"/>
          <w:szCs w:val="24"/>
          <w:lang w:val="en-US"/>
        </w:rPr>
        <w:t xml:space="preserve">fisher’s exact </w:t>
      </w:r>
      <w:r w:rsidR="00E565C3" w:rsidRPr="00B46CB1">
        <w:rPr>
          <w:rFonts w:ascii="Times New Roman" w:hAnsi="Times New Roman"/>
          <w:sz w:val="24"/>
          <w:szCs w:val="24"/>
          <w:lang w:val="en-US"/>
        </w:rPr>
        <w:t xml:space="preserve">test showed that iron intake was not significantly correlated with </w:t>
      </w:r>
      <w:r w:rsidR="00644DC4">
        <w:rPr>
          <w:rFonts w:ascii="Times New Roman" w:hAnsi="Times New Roman"/>
          <w:sz w:val="24"/>
          <w:szCs w:val="24"/>
          <w:lang w:val="en-US"/>
        </w:rPr>
        <w:t>anemia</w:t>
      </w:r>
      <w:r w:rsidR="00FB4732">
        <w:rPr>
          <w:rFonts w:ascii="Times New Roman" w:hAnsi="Times New Roman"/>
          <w:sz w:val="24"/>
          <w:szCs w:val="24"/>
          <w:lang w:val="en-US"/>
        </w:rPr>
        <w:t xml:space="preserve"> prevalence in pre</w:t>
      </w:r>
      <w:r w:rsidR="00E565C3" w:rsidRPr="00B46CB1">
        <w:rPr>
          <w:rFonts w:ascii="Times New Roman" w:hAnsi="Times New Roman"/>
          <w:sz w:val="24"/>
          <w:szCs w:val="24"/>
          <w:lang w:val="en-US"/>
        </w:rPr>
        <w:t>conception W</w:t>
      </w:r>
      <w:r w:rsidR="00FB4732">
        <w:rPr>
          <w:rFonts w:ascii="Times New Roman" w:hAnsi="Times New Roman"/>
          <w:sz w:val="24"/>
          <w:szCs w:val="24"/>
        </w:rPr>
        <w:t xml:space="preserve">omen of </w:t>
      </w:r>
      <w:r w:rsidR="00E565C3" w:rsidRPr="00B46CB1">
        <w:rPr>
          <w:rFonts w:ascii="Times New Roman" w:hAnsi="Times New Roman"/>
          <w:sz w:val="24"/>
          <w:szCs w:val="24"/>
          <w:lang w:val="en-US"/>
        </w:rPr>
        <w:t>C</w:t>
      </w:r>
      <w:r w:rsidR="00FB4732">
        <w:rPr>
          <w:rFonts w:ascii="Times New Roman" w:hAnsi="Times New Roman"/>
          <w:sz w:val="24"/>
          <w:szCs w:val="24"/>
        </w:rPr>
        <w:t xml:space="preserve">hildbearing </w:t>
      </w:r>
      <w:r w:rsidR="00E565C3" w:rsidRPr="00B46CB1">
        <w:rPr>
          <w:rFonts w:ascii="Times New Roman" w:hAnsi="Times New Roman"/>
          <w:sz w:val="24"/>
          <w:szCs w:val="24"/>
          <w:lang w:val="en-US"/>
        </w:rPr>
        <w:t>A</w:t>
      </w:r>
      <w:r w:rsidR="00FB4732">
        <w:rPr>
          <w:rFonts w:ascii="Times New Roman" w:hAnsi="Times New Roman"/>
          <w:sz w:val="24"/>
          <w:szCs w:val="24"/>
        </w:rPr>
        <w:t>ge</w:t>
      </w:r>
      <w:r w:rsidR="00E565C3" w:rsidRPr="00B46CB1">
        <w:rPr>
          <w:rFonts w:ascii="Times New Roman" w:hAnsi="Times New Roman"/>
          <w:sz w:val="24"/>
          <w:szCs w:val="24"/>
          <w:lang w:val="en-US"/>
        </w:rPr>
        <w:t xml:space="preserve"> (p</w:t>
      </w:r>
      <w:r w:rsidR="00FB4732">
        <w:rPr>
          <w:rFonts w:ascii="Times New Roman" w:hAnsi="Times New Roman"/>
          <w:sz w:val="24"/>
          <w:szCs w:val="24"/>
        </w:rPr>
        <w:t xml:space="preserve"> value </w:t>
      </w:r>
      <w:r w:rsidR="00E565C3" w:rsidRPr="00B46CB1">
        <w:rPr>
          <w:rFonts w:ascii="Times New Roman" w:hAnsi="Times New Roman"/>
          <w:sz w:val="24"/>
          <w:szCs w:val="24"/>
          <w:lang w:val="en-US"/>
        </w:rPr>
        <w:t>&gt;</w:t>
      </w:r>
      <w:r w:rsidR="00FB4732">
        <w:rPr>
          <w:rFonts w:ascii="Times New Roman" w:hAnsi="Times New Roman"/>
          <w:sz w:val="24"/>
          <w:szCs w:val="24"/>
        </w:rPr>
        <w:t xml:space="preserve"> </w:t>
      </w:r>
      <w:r w:rsidR="00E565C3" w:rsidRPr="00B46CB1">
        <w:rPr>
          <w:rFonts w:ascii="Times New Roman" w:hAnsi="Times New Roman"/>
          <w:sz w:val="24"/>
          <w:szCs w:val="24"/>
          <w:lang w:val="en-US"/>
        </w:rPr>
        <w:t>0,05; C</w:t>
      </w:r>
      <w:r w:rsidR="00FB4732">
        <w:rPr>
          <w:rFonts w:ascii="Times New Roman" w:hAnsi="Times New Roman"/>
          <w:sz w:val="24"/>
          <w:szCs w:val="24"/>
        </w:rPr>
        <w:t xml:space="preserve">onfidence </w:t>
      </w:r>
      <w:proofErr w:type="gramStart"/>
      <w:r w:rsidR="00E565C3" w:rsidRPr="00B46CB1">
        <w:rPr>
          <w:rFonts w:ascii="Times New Roman" w:hAnsi="Times New Roman"/>
          <w:sz w:val="24"/>
          <w:szCs w:val="24"/>
          <w:lang w:val="en-US"/>
        </w:rPr>
        <w:t>I</w:t>
      </w:r>
      <w:r w:rsidR="00FB4732">
        <w:rPr>
          <w:rFonts w:ascii="Times New Roman" w:hAnsi="Times New Roman"/>
          <w:sz w:val="24"/>
          <w:szCs w:val="24"/>
        </w:rPr>
        <w:t>nterval</w:t>
      </w:r>
      <w:r w:rsidR="00E565C3" w:rsidRPr="00B46CB1">
        <w:rPr>
          <w:rFonts w:ascii="Times New Roman" w:hAnsi="Times New Roman"/>
          <w:sz w:val="24"/>
          <w:szCs w:val="24"/>
          <w:lang w:val="en-US"/>
        </w:rPr>
        <w:t xml:space="preserve"> :</w:t>
      </w:r>
      <w:proofErr w:type="gramEnd"/>
      <w:r w:rsidR="00E565C3" w:rsidRPr="00B46CB1">
        <w:rPr>
          <w:rFonts w:ascii="Times New Roman" w:hAnsi="Times New Roman"/>
          <w:sz w:val="24"/>
          <w:szCs w:val="24"/>
          <w:lang w:val="en-US"/>
        </w:rPr>
        <w:t xml:space="preserve"> 0,31-22,07).</w:t>
      </w:r>
    </w:p>
    <w:p w:rsidR="004F3210" w:rsidRPr="00B46CB1" w:rsidRDefault="004F3210"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 xml:space="preserve">The study </w:t>
      </w:r>
      <w:r w:rsidR="00644DC4">
        <w:rPr>
          <w:rFonts w:ascii="Times New Roman" w:hAnsi="Times New Roman"/>
          <w:sz w:val="24"/>
          <w:szCs w:val="24"/>
          <w:lang w:val="en-US"/>
        </w:rPr>
        <w:t xml:space="preserve">conducted by </w:t>
      </w:r>
      <w:proofErr w:type="spellStart"/>
      <w:r w:rsidR="00644DC4">
        <w:rPr>
          <w:rFonts w:ascii="Times New Roman" w:hAnsi="Times New Roman"/>
          <w:sz w:val="24"/>
          <w:szCs w:val="24"/>
          <w:lang w:val="en-US"/>
        </w:rPr>
        <w:t>Gutmaningsih</w:t>
      </w:r>
      <w:proofErr w:type="spellEnd"/>
      <w:r w:rsidR="00644DC4">
        <w:rPr>
          <w:rFonts w:ascii="Times New Roman" w:hAnsi="Times New Roman"/>
          <w:sz w:val="24"/>
          <w:szCs w:val="24"/>
          <w:lang w:val="en-US"/>
        </w:rPr>
        <w:t xml:space="preserve"> and Thompson </w:t>
      </w:r>
      <w:r w:rsidR="00670E9E" w:rsidRPr="00B46CB1">
        <w:rPr>
          <w:rFonts w:ascii="Times New Roman" w:hAnsi="Times New Roman"/>
          <w:sz w:val="24"/>
          <w:szCs w:val="24"/>
          <w:lang w:val="en-US"/>
        </w:rPr>
        <w:t xml:space="preserve">mentioned that Body Mass Index (BMI) </w:t>
      </w:r>
      <w:r w:rsidR="00D02F7D">
        <w:rPr>
          <w:rFonts w:ascii="Times New Roman" w:hAnsi="Times New Roman"/>
          <w:sz w:val="24"/>
          <w:szCs w:val="24"/>
          <w:lang w:val="en-US"/>
        </w:rPr>
        <w:t xml:space="preserve">was positively correlated with </w:t>
      </w:r>
      <w:proofErr w:type="spellStart"/>
      <w:r w:rsidR="00D02F7D">
        <w:rPr>
          <w:rFonts w:ascii="Times New Roman" w:hAnsi="Times New Roman"/>
          <w:sz w:val="24"/>
          <w:szCs w:val="24"/>
          <w:lang w:val="en-US"/>
        </w:rPr>
        <w:t>h</w:t>
      </w:r>
      <w:r w:rsidR="00670E9E" w:rsidRPr="00B46CB1">
        <w:rPr>
          <w:rFonts w:ascii="Times New Roman" w:hAnsi="Times New Roman"/>
          <w:sz w:val="24"/>
          <w:szCs w:val="24"/>
          <w:lang w:val="en-US"/>
        </w:rPr>
        <w:t>aemoglobin</w:t>
      </w:r>
      <w:proofErr w:type="spellEnd"/>
      <w:r w:rsidR="00670E9E" w:rsidRPr="00B46CB1">
        <w:rPr>
          <w:rFonts w:ascii="Times New Roman" w:hAnsi="Times New Roman"/>
          <w:sz w:val="24"/>
          <w:szCs w:val="24"/>
          <w:lang w:val="en-US"/>
        </w:rPr>
        <w:t xml:space="preserve"> concentration</w:t>
      </w:r>
      <w:r w:rsidR="00D02F7D">
        <w:rPr>
          <w:rFonts w:ascii="Times New Roman" w:hAnsi="Times New Roman"/>
          <w:sz w:val="24"/>
          <w:szCs w:val="24"/>
        </w:rPr>
        <w:t xml:space="preserve"> [8,11]</w:t>
      </w:r>
      <w:r w:rsidR="00670E9E" w:rsidRPr="00B46CB1">
        <w:rPr>
          <w:rFonts w:ascii="Times New Roman" w:hAnsi="Times New Roman"/>
          <w:sz w:val="24"/>
          <w:szCs w:val="24"/>
          <w:lang w:val="en-US"/>
        </w:rPr>
        <w:t>. Nutrition</w:t>
      </w:r>
      <w:r w:rsidR="008955CA" w:rsidRPr="00B46CB1">
        <w:rPr>
          <w:rFonts w:ascii="Times New Roman" w:hAnsi="Times New Roman"/>
          <w:sz w:val="24"/>
          <w:szCs w:val="24"/>
          <w:lang w:val="en-US"/>
        </w:rPr>
        <w:t xml:space="preserve">al status was obtained from the balance of measurement between nutritional intake and nutritional needs. There were three types of nutritional deficiency: qualitative deficiency, quantitative deficiency, and the combination of both </w:t>
      </w:r>
      <w:r w:rsidR="005A2A39" w:rsidRPr="00B46CB1">
        <w:rPr>
          <w:rFonts w:ascii="Times New Roman" w:hAnsi="Times New Roman"/>
          <w:sz w:val="24"/>
          <w:szCs w:val="24"/>
          <w:lang w:val="en-US"/>
        </w:rPr>
        <w:t>deficiencies</w:t>
      </w:r>
      <w:r w:rsidR="008955CA" w:rsidRPr="00B46CB1">
        <w:rPr>
          <w:rFonts w:ascii="Times New Roman" w:hAnsi="Times New Roman"/>
          <w:sz w:val="24"/>
          <w:szCs w:val="24"/>
          <w:lang w:val="en-US"/>
        </w:rPr>
        <w:t>.</w:t>
      </w:r>
    </w:p>
    <w:p w:rsidR="00756616" w:rsidRPr="00B46CB1" w:rsidRDefault="008955CA"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The lower the nutritional status of individuals</w:t>
      </w:r>
      <w:r w:rsidR="005A2A39" w:rsidRPr="00B46CB1">
        <w:rPr>
          <w:rFonts w:ascii="Times New Roman" w:hAnsi="Times New Roman"/>
          <w:sz w:val="24"/>
          <w:szCs w:val="24"/>
        </w:rPr>
        <w:t xml:space="preserve"> is</w:t>
      </w:r>
      <w:r w:rsidRPr="00B46CB1">
        <w:rPr>
          <w:rFonts w:ascii="Times New Roman" w:hAnsi="Times New Roman"/>
          <w:sz w:val="24"/>
          <w:szCs w:val="24"/>
          <w:lang w:val="en-US"/>
        </w:rPr>
        <w:t xml:space="preserve">, the higher their risk to suffer from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w:t>
      </w:r>
      <w:r w:rsidR="00C71440" w:rsidRPr="00B46CB1">
        <w:rPr>
          <w:rFonts w:ascii="Times New Roman" w:hAnsi="Times New Roman"/>
          <w:sz w:val="24"/>
          <w:szCs w:val="24"/>
          <w:lang w:val="en-US"/>
        </w:rPr>
        <w:t>If the foods consumed</w:t>
      </w:r>
      <w:r w:rsidR="00CD6450" w:rsidRPr="00B46CB1">
        <w:rPr>
          <w:rFonts w:ascii="Times New Roman" w:hAnsi="Times New Roman"/>
          <w:sz w:val="24"/>
          <w:szCs w:val="24"/>
          <w:lang w:val="en-US"/>
        </w:rPr>
        <w:t xml:space="preserve"> by individual</w:t>
      </w:r>
      <w:r w:rsidR="005352BB">
        <w:rPr>
          <w:rFonts w:ascii="Times New Roman" w:hAnsi="Times New Roman"/>
          <w:sz w:val="24"/>
          <w:szCs w:val="24"/>
        </w:rPr>
        <w:t xml:space="preserve">s </w:t>
      </w:r>
      <w:r w:rsidR="005A2A39" w:rsidRPr="00B46CB1">
        <w:rPr>
          <w:rFonts w:ascii="Times New Roman" w:hAnsi="Times New Roman"/>
          <w:sz w:val="24"/>
          <w:szCs w:val="24"/>
        </w:rPr>
        <w:t>have</w:t>
      </w:r>
      <w:r w:rsidR="005A2A39" w:rsidRPr="00B46CB1">
        <w:rPr>
          <w:rFonts w:ascii="Times New Roman" w:hAnsi="Times New Roman"/>
          <w:sz w:val="24"/>
          <w:szCs w:val="24"/>
          <w:lang w:val="en-US"/>
        </w:rPr>
        <w:t xml:space="preserve"> good nutrition, they </w:t>
      </w:r>
      <w:r w:rsidR="005A2A39" w:rsidRPr="00B46CB1">
        <w:rPr>
          <w:rFonts w:ascii="Times New Roman" w:hAnsi="Times New Roman"/>
          <w:sz w:val="24"/>
          <w:szCs w:val="24"/>
        </w:rPr>
        <w:t>will</w:t>
      </w:r>
      <w:r w:rsidR="00C71440" w:rsidRPr="00B46CB1">
        <w:rPr>
          <w:rFonts w:ascii="Times New Roman" w:hAnsi="Times New Roman"/>
          <w:sz w:val="24"/>
          <w:szCs w:val="24"/>
          <w:lang w:val="en-US"/>
        </w:rPr>
        <w:t xml:space="preserve"> definitely have good nutritional status. On the other hand</w:t>
      </w:r>
      <w:r w:rsidR="005A2A39" w:rsidRPr="00B46CB1">
        <w:rPr>
          <w:rFonts w:ascii="Times New Roman" w:hAnsi="Times New Roman"/>
          <w:sz w:val="24"/>
          <w:szCs w:val="24"/>
          <w:lang w:val="en-US"/>
        </w:rPr>
        <w:t xml:space="preserve">, if the foods they consumed </w:t>
      </w:r>
      <w:r w:rsidR="005A2A39" w:rsidRPr="00B46CB1">
        <w:rPr>
          <w:rFonts w:ascii="Times New Roman" w:hAnsi="Times New Roman"/>
          <w:sz w:val="24"/>
          <w:szCs w:val="24"/>
        </w:rPr>
        <w:t>have</w:t>
      </w:r>
      <w:r w:rsidR="005A2A39" w:rsidRPr="00B46CB1">
        <w:rPr>
          <w:rFonts w:ascii="Times New Roman" w:hAnsi="Times New Roman"/>
          <w:sz w:val="24"/>
          <w:szCs w:val="24"/>
          <w:lang w:val="en-US"/>
        </w:rPr>
        <w:t xml:space="preserve"> low nutrition, they </w:t>
      </w:r>
      <w:r w:rsidR="005A2A39" w:rsidRPr="00B46CB1">
        <w:rPr>
          <w:rFonts w:ascii="Times New Roman" w:hAnsi="Times New Roman"/>
          <w:sz w:val="24"/>
          <w:szCs w:val="24"/>
        </w:rPr>
        <w:t>will</w:t>
      </w:r>
      <w:r w:rsidR="00D02F7D">
        <w:rPr>
          <w:rFonts w:ascii="Times New Roman" w:hAnsi="Times New Roman"/>
          <w:sz w:val="24"/>
          <w:szCs w:val="24"/>
        </w:rPr>
        <w:t xml:space="preserve"> </w:t>
      </w:r>
      <w:r w:rsidR="005A2A39" w:rsidRPr="00B46CB1">
        <w:rPr>
          <w:rFonts w:ascii="Times New Roman" w:hAnsi="Times New Roman"/>
          <w:sz w:val="24"/>
          <w:szCs w:val="24"/>
          <w:lang w:val="en-US"/>
        </w:rPr>
        <w:t xml:space="preserve">probably </w:t>
      </w:r>
      <w:r w:rsidR="005A2A39" w:rsidRPr="00B46CB1">
        <w:rPr>
          <w:rFonts w:ascii="Times New Roman" w:hAnsi="Times New Roman"/>
          <w:sz w:val="24"/>
          <w:szCs w:val="24"/>
        </w:rPr>
        <w:t>have</w:t>
      </w:r>
      <w:r w:rsidR="00C71440" w:rsidRPr="00B46CB1">
        <w:rPr>
          <w:rFonts w:ascii="Times New Roman" w:hAnsi="Times New Roman"/>
          <w:sz w:val="24"/>
          <w:szCs w:val="24"/>
          <w:lang w:val="en-US"/>
        </w:rPr>
        <w:t xml:space="preserve"> nutritional deficiency tha</w:t>
      </w:r>
      <w:r w:rsidR="005A2A39" w:rsidRPr="00B46CB1">
        <w:rPr>
          <w:rFonts w:ascii="Times New Roman" w:hAnsi="Times New Roman"/>
          <w:sz w:val="24"/>
          <w:szCs w:val="24"/>
          <w:lang w:val="en-US"/>
        </w:rPr>
        <w:t>t can</w:t>
      </w:r>
      <w:r w:rsidR="001A0AB9" w:rsidRPr="00B46CB1">
        <w:rPr>
          <w:rFonts w:ascii="Times New Roman" w:hAnsi="Times New Roman"/>
          <w:sz w:val="24"/>
          <w:szCs w:val="24"/>
          <w:lang w:val="en-US"/>
        </w:rPr>
        <w:t xml:space="preserve"> lead to </w:t>
      </w:r>
      <w:r w:rsidR="00644DC4">
        <w:rPr>
          <w:rFonts w:ascii="Times New Roman" w:hAnsi="Times New Roman"/>
          <w:sz w:val="24"/>
          <w:szCs w:val="24"/>
          <w:lang w:val="en-US"/>
        </w:rPr>
        <w:t>anemia</w:t>
      </w:r>
      <w:r w:rsidR="00D02F7D">
        <w:rPr>
          <w:rFonts w:ascii="Times New Roman" w:hAnsi="Times New Roman"/>
          <w:sz w:val="24"/>
          <w:szCs w:val="24"/>
        </w:rPr>
        <w:t>,</w:t>
      </w:r>
      <w:r w:rsidR="001A0AB9" w:rsidRPr="00B46CB1">
        <w:rPr>
          <w:rFonts w:ascii="Times New Roman" w:hAnsi="Times New Roman"/>
          <w:sz w:val="24"/>
          <w:szCs w:val="24"/>
          <w:lang w:val="en-US"/>
        </w:rPr>
        <w:t xml:space="preserve"> because</w:t>
      </w:r>
      <w:r w:rsidR="00D02F7D">
        <w:rPr>
          <w:rFonts w:ascii="Times New Roman" w:hAnsi="Times New Roman"/>
          <w:sz w:val="24"/>
          <w:szCs w:val="24"/>
        </w:rPr>
        <w:t xml:space="preserve"> </w:t>
      </w:r>
      <w:r w:rsidR="00644DC4">
        <w:rPr>
          <w:rFonts w:ascii="Times New Roman" w:hAnsi="Times New Roman"/>
          <w:sz w:val="24"/>
          <w:szCs w:val="24"/>
          <w:lang w:val="en-US"/>
        </w:rPr>
        <w:t>anemia</w:t>
      </w:r>
      <w:r w:rsidR="00C71440" w:rsidRPr="00B46CB1">
        <w:rPr>
          <w:rFonts w:ascii="Times New Roman" w:hAnsi="Times New Roman"/>
          <w:sz w:val="24"/>
          <w:szCs w:val="24"/>
          <w:lang w:val="en-US"/>
        </w:rPr>
        <w:t xml:space="preserve"> prevalence was directly affected by</w:t>
      </w:r>
      <w:r w:rsidR="00D02F7D">
        <w:rPr>
          <w:rFonts w:ascii="Times New Roman" w:hAnsi="Times New Roman"/>
          <w:sz w:val="24"/>
          <w:szCs w:val="24"/>
        </w:rPr>
        <w:t xml:space="preserve"> </w:t>
      </w:r>
      <w:r w:rsidR="005279DB" w:rsidRPr="00B46CB1">
        <w:rPr>
          <w:rFonts w:ascii="Times New Roman" w:hAnsi="Times New Roman"/>
          <w:sz w:val="24"/>
          <w:szCs w:val="24"/>
          <w:lang w:val="en-US"/>
        </w:rPr>
        <w:t>individuals</w:t>
      </w:r>
      <w:r w:rsidR="00CD6450" w:rsidRPr="00B46CB1">
        <w:rPr>
          <w:rFonts w:ascii="Times New Roman" w:hAnsi="Times New Roman"/>
          <w:sz w:val="24"/>
          <w:szCs w:val="24"/>
          <w:lang w:val="en-US"/>
        </w:rPr>
        <w:t>’</w:t>
      </w:r>
      <w:r w:rsidR="00D02F7D">
        <w:rPr>
          <w:rFonts w:ascii="Times New Roman" w:hAnsi="Times New Roman"/>
          <w:sz w:val="24"/>
          <w:szCs w:val="24"/>
        </w:rPr>
        <w:t xml:space="preserve"> </w:t>
      </w:r>
      <w:r w:rsidR="005279DB" w:rsidRPr="00B46CB1">
        <w:rPr>
          <w:rFonts w:ascii="Times New Roman" w:hAnsi="Times New Roman"/>
          <w:sz w:val="24"/>
          <w:szCs w:val="24"/>
          <w:lang w:val="en-US"/>
        </w:rPr>
        <w:t xml:space="preserve">daily </w:t>
      </w:r>
      <w:r w:rsidR="00147782" w:rsidRPr="00B46CB1">
        <w:rPr>
          <w:rFonts w:ascii="Times New Roman" w:hAnsi="Times New Roman"/>
          <w:sz w:val="24"/>
          <w:szCs w:val="24"/>
          <w:lang w:val="en-US"/>
        </w:rPr>
        <w:t xml:space="preserve">eating </w:t>
      </w:r>
      <w:r w:rsidR="0009148F" w:rsidRPr="00B46CB1">
        <w:rPr>
          <w:rFonts w:ascii="Times New Roman" w:hAnsi="Times New Roman"/>
          <w:sz w:val="24"/>
          <w:szCs w:val="24"/>
          <w:lang w:val="en-US"/>
        </w:rPr>
        <w:t>behavior</w:t>
      </w:r>
      <w:r w:rsidR="00CD6450" w:rsidRPr="00B46CB1">
        <w:rPr>
          <w:rFonts w:ascii="Times New Roman" w:hAnsi="Times New Roman"/>
          <w:sz w:val="24"/>
          <w:szCs w:val="24"/>
          <w:lang w:val="en-US"/>
        </w:rPr>
        <w:t xml:space="preserve"> of</w:t>
      </w:r>
      <w:r w:rsidR="005279DB" w:rsidRPr="00B46CB1">
        <w:rPr>
          <w:rFonts w:ascii="Times New Roman" w:hAnsi="Times New Roman"/>
          <w:sz w:val="24"/>
          <w:szCs w:val="24"/>
          <w:lang w:val="en-US"/>
        </w:rPr>
        <w:t xml:space="preserve"> low iron foods</w:t>
      </w:r>
      <w:r w:rsidR="00CD6450" w:rsidRPr="00B46CB1">
        <w:rPr>
          <w:rFonts w:ascii="Times New Roman" w:hAnsi="Times New Roman"/>
          <w:sz w:val="24"/>
          <w:szCs w:val="24"/>
          <w:lang w:val="en-US"/>
        </w:rPr>
        <w:t xml:space="preserve"> besides the existence of infectious </w:t>
      </w:r>
      <w:r w:rsidR="00644DC4">
        <w:rPr>
          <w:rFonts w:ascii="Times New Roman" w:hAnsi="Times New Roman"/>
          <w:sz w:val="24"/>
          <w:szCs w:val="24"/>
          <w:lang w:val="en-US"/>
        </w:rPr>
        <w:t xml:space="preserve">trigger factor </w:t>
      </w:r>
      <w:r w:rsidR="00644DC4">
        <w:rPr>
          <w:rFonts w:ascii="Times New Roman" w:hAnsi="Times New Roman"/>
          <w:sz w:val="24"/>
          <w:szCs w:val="24"/>
        </w:rPr>
        <w:t>[1</w:t>
      </w:r>
      <w:r w:rsidR="00B8289C">
        <w:rPr>
          <w:rFonts w:ascii="Times New Roman" w:hAnsi="Times New Roman"/>
          <w:sz w:val="24"/>
          <w:szCs w:val="24"/>
        </w:rPr>
        <w:t>2</w:t>
      </w:r>
      <w:r w:rsidR="00644DC4">
        <w:rPr>
          <w:rFonts w:ascii="Times New Roman" w:hAnsi="Times New Roman"/>
          <w:sz w:val="24"/>
          <w:szCs w:val="24"/>
        </w:rPr>
        <w:t>]</w:t>
      </w:r>
      <w:r w:rsidR="00CD6450" w:rsidRPr="00B46CB1">
        <w:rPr>
          <w:rFonts w:ascii="Times New Roman" w:hAnsi="Times New Roman"/>
          <w:sz w:val="24"/>
          <w:szCs w:val="24"/>
          <w:lang w:val="en-US"/>
        </w:rPr>
        <w:t>.</w:t>
      </w:r>
    </w:p>
    <w:p w:rsidR="003E3C80" w:rsidRPr="00B46CB1" w:rsidRDefault="00D02F7D" w:rsidP="00C5236D">
      <w:pPr>
        <w:spacing w:after="0" w:line="360" w:lineRule="auto"/>
        <w:ind w:firstLine="709"/>
        <w:jc w:val="both"/>
        <w:rPr>
          <w:rFonts w:ascii="Times New Roman" w:hAnsi="Times New Roman"/>
          <w:sz w:val="24"/>
          <w:szCs w:val="24"/>
          <w:lang w:val="en-US"/>
        </w:rPr>
      </w:pPr>
      <w:r>
        <w:rPr>
          <w:rFonts w:ascii="Times New Roman" w:hAnsi="Times New Roman"/>
          <w:sz w:val="24"/>
          <w:szCs w:val="24"/>
        </w:rPr>
        <w:t>We</w:t>
      </w:r>
      <w:r w:rsidR="003E3C80" w:rsidRPr="00B46CB1">
        <w:rPr>
          <w:rFonts w:ascii="Times New Roman" w:hAnsi="Times New Roman"/>
          <w:sz w:val="24"/>
          <w:szCs w:val="24"/>
          <w:lang w:val="en-US"/>
        </w:rPr>
        <w:t xml:space="preserve"> assumed that </w:t>
      </w:r>
      <w:r w:rsidR="005A2A39" w:rsidRPr="00B46CB1">
        <w:rPr>
          <w:rFonts w:ascii="Times New Roman" w:hAnsi="Times New Roman"/>
          <w:sz w:val="24"/>
          <w:szCs w:val="24"/>
          <w:lang w:val="en-US"/>
        </w:rPr>
        <w:t>preconception</w:t>
      </w:r>
      <w:r w:rsidR="003E3C80" w:rsidRPr="00B46CB1">
        <w:rPr>
          <w:rFonts w:ascii="Times New Roman" w:hAnsi="Times New Roman"/>
          <w:sz w:val="24"/>
          <w:szCs w:val="24"/>
          <w:lang w:val="en-US"/>
        </w:rPr>
        <w:t xml:space="preserve"> WCA who became respondents in this research had met the standard of quantitative nutrient intake. From the interview on types of intake, most of the respondent had sufficient and even higher energy intake or macronutrient. The foods consumed mostly contained high carbohydrate and fat.</w:t>
      </w:r>
    </w:p>
    <w:p w:rsidR="00756616" w:rsidRPr="00B46CB1" w:rsidRDefault="003E3C80"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lastRenderedPageBreak/>
        <w:t xml:space="preserve">The studies conducted by </w:t>
      </w:r>
      <w:proofErr w:type="spellStart"/>
      <w:r w:rsidRPr="00B46CB1">
        <w:rPr>
          <w:rFonts w:ascii="Times New Roman" w:hAnsi="Times New Roman"/>
          <w:sz w:val="24"/>
          <w:szCs w:val="24"/>
          <w:lang w:val="en-US"/>
        </w:rPr>
        <w:t>Anari</w:t>
      </w:r>
      <w:proofErr w:type="spellEnd"/>
      <w:r w:rsidR="00D02F7D">
        <w:rPr>
          <w:rFonts w:ascii="Times New Roman" w:hAnsi="Times New Roman"/>
          <w:sz w:val="24"/>
          <w:szCs w:val="24"/>
        </w:rPr>
        <w:t xml:space="preserve"> </w:t>
      </w:r>
      <w:r w:rsidRPr="00D02F7D">
        <w:rPr>
          <w:rFonts w:ascii="Times New Roman" w:hAnsi="Times New Roman"/>
          <w:iCs/>
          <w:sz w:val="24"/>
          <w:szCs w:val="24"/>
          <w:lang w:val="en-US"/>
        </w:rPr>
        <w:t>et al.</w:t>
      </w:r>
      <w:r w:rsidR="00D02F7D" w:rsidRPr="00D02F7D">
        <w:rPr>
          <w:rFonts w:ascii="Times New Roman" w:hAnsi="Times New Roman"/>
          <w:iCs/>
          <w:sz w:val="24"/>
          <w:szCs w:val="24"/>
        </w:rPr>
        <w:t xml:space="preserve"> </w:t>
      </w:r>
      <w:r w:rsidRPr="00B46CB1">
        <w:rPr>
          <w:rFonts w:ascii="Times New Roman" w:hAnsi="Times New Roman"/>
          <w:sz w:val="24"/>
          <w:szCs w:val="24"/>
          <w:lang w:val="en-US"/>
        </w:rPr>
        <w:t xml:space="preserve">in Iran and </w:t>
      </w:r>
      <w:r w:rsidR="00651BC6" w:rsidRPr="00B46CB1">
        <w:rPr>
          <w:rFonts w:ascii="Times New Roman" w:hAnsi="Times New Roman"/>
          <w:sz w:val="24"/>
          <w:szCs w:val="24"/>
          <w:lang w:val="en-US"/>
        </w:rPr>
        <w:t xml:space="preserve">by employing 316 adult </w:t>
      </w:r>
      <w:r w:rsidRPr="00B46CB1">
        <w:rPr>
          <w:rFonts w:ascii="Times New Roman" w:hAnsi="Times New Roman"/>
          <w:sz w:val="24"/>
          <w:szCs w:val="24"/>
          <w:lang w:val="en-US"/>
        </w:rPr>
        <w:t>women between the age of 18-65</w:t>
      </w:r>
      <w:r w:rsidR="00651BC6" w:rsidRPr="00B46CB1">
        <w:rPr>
          <w:rFonts w:ascii="Times New Roman" w:hAnsi="Times New Roman"/>
          <w:sz w:val="24"/>
          <w:szCs w:val="24"/>
          <w:lang w:val="en-US"/>
        </w:rPr>
        <w:t xml:space="preserve"> as respondents showed that there was no significant correlation between BMI and </w:t>
      </w:r>
      <w:proofErr w:type="spellStart"/>
      <w:r w:rsidR="00651BC6" w:rsidRPr="00B46CB1">
        <w:rPr>
          <w:rFonts w:ascii="Times New Roman" w:hAnsi="Times New Roman"/>
          <w:sz w:val="24"/>
          <w:szCs w:val="24"/>
          <w:lang w:val="en-US"/>
        </w:rPr>
        <w:t>Hb</w:t>
      </w:r>
      <w:proofErr w:type="spellEnd"/>
      <w:r w:rsidR="00651BC6" w:rsidRPr="00B46CB1">
        <w:rPr>
          <w:rFonts w:ascii="Times New Roman" w:hAnsi="Times New Roman"/>
          <w:sz w:val="24"/>
          <w:szCs w:val="24"/>
          <w:lang w:val="en-US"/>
        </w:rPr>
        <w:t xml:space="preserve"> concentration (</w:t>
      </w:r>
      <w:r w:rsidR="00651BC6" w:rsidRPr="00B46CB1">
        <w:rPr>
          <w:rFonts w:ascii="Times New Roman" w:hAnsi="Times New Roman"/>
          <w:i/>
          <w:iCs/>
          <w:sz w:val="24"/>
          <w:szCs w:val="24"/>
          <w:lang w:val="en-US"/>
        </w:rPr>
        <w:t>p</w:t>
      </w:r>
      <w:r w:rsidR="00651BC6" w:rsidRPr="00B46CB1">
        <w:rPr>
          <w:rFonts w:ascii="Times New Roman" w:hAnsi="Times New Roman"/>
          <w:sz w:val="24"/>
          <w:szCs w:val="24"/>
          <w:lang w:val="en-US"/>
        </w:rPr>
        <w:t xml:space="preserve">=0,580) that was also similar with the research conducted </w:t>
      </w:r>
      <w:proofErr w:type="gramStart"/>
      <w:r w:rsidR="00651BC6" w:rsidRPr="00B46CB1">
        <w:rPr>
          <w:rFonts w:ascii="Times New Roman" w:hAnsi="Times New Roman"/>
          <w:sz w:val="24"/>
          <w:szCs w:val="24"/>
          <w:lang w:val="en-US"/>
        </w:rPr>
        <w:t xml:space="preserve">by  </w:t>
      </w:r>
      <w:proofErr w:type="spellStart"/>
      <w:r w:rsidR="00651BC6" w:rsidRPr="00B46CB1">
        <w:rPr>
          <w:rFonts w:ascii="Times New Roman" w:hAnsi="Times New Roman"/>
          <w:sz w:val="24"/>
          <w:szCs w:val="24"/>
          <w:lang w:val="en-US"/>
        </w:rPr>
        <w:t>Mendonca</w:t>
      </w:r>
      <w:proofErr w:type="spellEnd"/>
      <w:proofErr w:type="gramEnd"/>
      <w:r w:rsidR="00D02F7D">
        <w:rPr>
          <w:rFonts w:ascii="Times New Roman" w:hAnsi="Times New Roman"/>
          <w:sz w:val="24"/>
          <w:szCs w:val="24"/>
        </w:rPr>
        <w:t xml:space="preserve"> </w:t>
      </w:r>
      <w:r w:rsidR="00651BC6" w:rsidRPr="00D02F7D">
        <w:rPr>
          <w:rFonts w:ascii="Times New Roman" w:hAnsi="Times New Roman"/>
          <w:iCs/>
          <w:sz w:val="24"/>
          <w:szCs w:val="24"/>
          <w:lang w:val="en-US"/>
        </w:rPr>
        <w:t>et al.</w:t>
      </w:r>
      <w:r w:rsidR="00651BC6" w:rsidRPr="00B46CB1">
        <w:rPr>
          <w:rFonts w:ascii="Times New Roman" w:hAnsi="Times New Roman"/>
          <w:i/>
          <w:iCs/>
          <w:sz w:val="24"/>
          <w:szCs w:val="24"/>
          <w:lang w:val="en-US"/>
        </w:rPr>
        <w:t xml:space="preserve"> </w:t>
      </w:r>
      <w:r w:rsidR="00651BC6" w:rsidRPr="00B46CB1">
        <w:rPr>
          <w:rFonts w:ascii="Times New Roman" w:hAnsi="Times New Roman"/>
          <w:sz w:val="24"/>
          <w:szCs w:val="24"/>
          <w:lang w:val="en-US"/>
        </w:rPr>
        <w:t xml:space="preserve">with </w:t>
      </w:r>
      <w:r w:rsidR="00651BC6" w:rsidRPr="00B46CB1">
        <w:rPr>
          <w:rFonts w:ascii="Times New Roman" w:hAnsi="Times New Roman"/>
          <w:i/>
          <w:iCs/>
          <w:sz w:val="24"/>
          <w:szCs w:val="24"/>
          <w:lang w:val="en-US"/>
        </w:rPr>
        <w:t>p</w:t>
      </w:r>
      <w:r w:rsidR="00D02F7D">
        <w:rPr>
          <w:rFonts w:ascii="Times New Roman" w:hAnsi="Times New Roman"/>
          <w:sz w:val="24"/>
          <w:szCs w:val="24"/>
          <w:lang w:val="en-US"/>
        </w:rPr>
        <w:t>=0,82 [13</w:t>
      </w:r>
      <w:r w:rsidR="00D02F7D">
        <w:rPr>
          <w:rFonts w:ascii="Times New Roman" w:hAnsi="Times New Roman"/>
          <w:sz w:val="24"/>
          <w:szCs w:val="24"/>
        </w:rPr>
        <w:t>, 14</w:t>
      </w:r>
      <w:r w:rsidR="00D02F7D">
        <w:rPr>
          <w:rFonts w:ascii="Times New Roman" w:hAnsi="Times New Roman"/>
          <w:sz w:val="24"/>
          <w:szCs w:val="24"/>
          <w:lang w:val="en-US"/>
        </w:rPr>
        <w:t>]</w:t>
      </w:r>
    </w:p>
    <w:p w:rsidR="00651BC6" w:rsidRPr="00B46CB1" w:rsidRDefault="00651BC6"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 xml:space="preserve">The research showed that 95.6% of the subjects (175 people) had low iron intake. It inferred that almost all respondents had a risk of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especially iron-deficiency </w:t>
      </w:r>
      <w:r w:rsidR="00644DC4">
        <w:rPr>
          <w:rFonts w:ascii="Times New Roman" w:hAnsi="Times New Roman"/>
          <w:sz w:val="24"/>
          <w:szCs w:val="24"/>
          <w:lang w:val="en-US"/>
        </w:rPr>
        <w:t>anemia</w:t>
      </w:r>
      <w:r w:rsidRPr="00B46CB1">
        <w:rPr>
          <w:rFonts w:ascii="Times New Roman" w:hAnsi="Times New Roman"/>
          <w:sz w:val="24"/>
          <w:szCs w:val="24"/>
          <w:lang w:val="en-US"/>
        </w:rPr>
        <w:t>.</w:t>
      </w:r>
      <w:r w:rsidR="009E0173">
        <w:rPr>
          <w:rFonts w:ascii="Times New Roman" w:hAnsi="Times New Roman"/>
          <w:sz w:val="24"/>
          <w:szCs w:val="24"/>
        </w:rPr>
        <w:t xml:space="preserve"> </w:t>
      </w:r>
      <w:r w:rsidR="00395AAA" w:rsidRPr="00B46CB1">
        <w:rPr>
          <w:rFonts w:ascii="Times New Roman" w:hAnsi="Times New Roman"/>
          <w:sz w:val="24"/>
          <w:szCs w:val="24"/>
          <w:lang w:val="en-US"/>
        </w:rPr>
        <w:t xml:space="preserve">Iron is </w:t>
      </w:r>
      <w:r w:rsidR="005A2A39" w:rsidRPr="00B46CB1">
        <w:rPr>
          <w:rFonts w:ascii="Times New Roman" w:hAnsi="Times New Roman"/>
          <w:sz w:val="24"/>
          <w:szCs w:val="24"/>
          <w:lang w:val="en-US"/>
        </w:rPr>
        <w:t>needed</w:t>
      </w:r>
      <w:r w:rsidRPr="00B46CB1">
        <w:rPr>
          <w:rFonts w:ascii="Times New Roman" w:hAnsi="Times New Roman"/>
          <w:sz w:val="24"/>
          <w:szCs w:val="24"/>
          <w:lang w:val="en-US"/>
        </w:rPr>
        <w:t xml:space="preserve"> to </w:t>
      </w:r>
      <w:r w:rsidR="00395AAA" w:rsidRPr="00B46CB1">
        <w:rPr>
          <w:rFonts w:ascii="Times New Roman" w:hAnsi="Times New Roman"/>
          <w:sz w:val="24"/>
          <w:szCs w:val="24"/>
          <w:lang w:val="en-US"/>
        </w:rPr>
        <w:t xml:space="preserve">produce </w:t>
      </w:r>
      <w:proofErr w:type="spellStart"/>
      <w:r w:rsidR="00395AAA" w:rsidRPr="00B46CB1">
        <w:rPr>
          <w:rFonts w:ascii="Times New Roman" w:hAnsi="Times New Roman"/>
          <w:sz w:val="24"/>
          <w:szCs w:val="24"/>
          <w:lang w:val="en-US"/>
        </w:rPr>
        <w:t>haemoglobin</w:t>
      </w:r>
      <w:proofErr w:type="spellEnd"/>
      <w:r w:rsidR="00395AAA" w:rsidRPr="00B46CB1">
        <w:rPr>
          <w:rFonts w:ascii="Times New Roman" w:hAnsi="Times New Roman"/>
          <w:sz w:val="24"/>
          <w:szCs w:val="24"/>
          <w:lang w:val="en-US"/>
        </w:rPr>
        <w:t xml:space="preserve">, protein in the red blood cells carrying oxygen throughout the body. Some of the </w:t>
      </w:r>
      <w:proofErr w:type="spellStart"/>
      <w:r w:rsidR="00395AAA" w:rsidRPr="00B46CB1">
        <w:rPr>
          <w:rFonts w:ascii="Times New Roman" w:hAnsi="Times New Roman"/>
          <w:sz w:val="24"/>
          <w:szCs w:val="24"/>
          <w:lang w:val="en-US"/>
        </w:rPr>
        <w:t>heamoglobin</w:t>
      </w:r>
      <w:proofErr w:type="spellEnd"/>
      <w:r w:rsidR="00395AAA" w:rsidRPr="00B46CB1">
        <w:rPr>
          <w:rFonts w:ascii="Times New Roman" w:hAnsi="Times New Roman"/>
          <w:sz w:val="24"/>
          <w:szCs w:val="24"/>
          <w:lang w:val="en-US"/>
        </w:rPr>
        <w:t xml:space="preserve"> increases are obtained from reserved iron and absorbed iron</w:t>
      </w:r>
      <w:r w:rsidR="00B8289C">
        <w:rPr>
          <w:rFonts w:ascii="Times New Roman" w:hAnsi="Times New Roman"/>
          <w:sz w:val="24"/>
          <w:szCs w:val="24"/>
        </w:rPr>
        <w:t xml:space="preserve"> [14</w:t>
      </w:r>
      <w:r w:rsidR="00644DC4">
        <w:rPr>
          <w:rFonts w:ascii="Times New Roman" w:hAnsi="Times New Roman"/>
          <w:sz w:val="24"/>
          <w:szCs w:val="24"/>
        </w:rPr>
        <w:t>]</w:t>
      </w:r>
      <w:r w:rsidR="00395AAA" w:rsidRPr="00B46CB1">
        <w:rPr>
          <w:rFonts w:ascii="Times New Roman" w:hAnsi="Times New Roman"/>
          <w:sz w:val="24"/>
          <w:szCs w:val="24"/>
          <w:lang w:val="en-US"/>
        </w:rPr>
        <w:t>.</w:t>
      </w:r>
    </w:p>
    <w:p w:rsidR="004040FF" w:rsidRPr="00B46CB1" w:rsidRDefault="00395AAA"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There are two kinds of iron in th</w:t>
      </w:r>
      <w:r w:rsidR="004040FF" w:rsidRPr="00B46CB1">
        <w:rPr>
          <w:rFonts w:ascii="Times New Roman" w:hAnsi="Times New Roman"/>
          <w:sz w:val="24"/>
          <w:szCs w:val="24"/>
          <w:lang w:val="en-US"/>
        </w:rPr>
        <w:t xml:space="preserve">e foods, the first is </w:t>
      </w:r>
      <w:proofErr w:type="spellStart"/>
      <w:r w:rsidRPr="00B46CB1">
        <w:rPr>
          <w:rFonts w:ascii="Times New Roman" w:hAnsi="Times New Roman"/>
          <w:sz w:val="24"/>
          <w:szCs w:val="24"/>
          <w:lang w:val="en-US"/>
        </w:rPr>
        <w:t>heme</w:t>
      </w:r>
      <w:proofErr w:type="spellEnd"/>
      <w:r w:rsidR="004040FF" w:rsidRPr="00B46CB1">
        <w:rPr>
          <w:rFonts w:ascii="Times New Roman" w:hAnsi="Times New Roman"/>
          <w:sz w:val="24"/>
          <w:szCs w:val="24"/>
          <w:lang w:val="en-US"/>
        </w:rPr>
        <w:t xml:space="preserve"> iron</w:t>
      </w:r>
      <w:r w:rsidRPr="00B46CB1">
        <w:rPr>
          <w:rFonts w:ascii="Times New Roman" w:hAnsi="Times New Roman"/>
          <w:sz w:val="24"/>
          <w:szCs w:val="24"/>
          <w:lang w:val="en-US"/>
        </w:rPr>
        <w:t xml:space="preserve"> and the last </w:t>
      </w:r>
      <w:r w:rsidR="005A2A39" w:rsidRPr="00B46CB1">
        <w:rPr>
          <w:rFonts w:ascii="Times New Roman" w:hAnsi="Times New Roman"/>
          <w:sz w:val="24"/>
          <w:szCs w:val="24"/>
        </w:rPr>
        <w:t>is</w:t>
      </w:r>
      <w:r w:rsidR="004040FF" w:rsidRPr="00B46CB1">
        <w:rPr>
          <w:rFonts w:ascii="Times New Roman" w:hAnsi="Times New Roman"/>
          <w:sz w:val="24"/>
          <w:szCs w:val="24"/>
          <w:lang w:val="en-US"/>
        </w:rPr>
        <w:t xml:space="preserve"> non-</w:t>
      </w:r>
      <w:proofErr w:type="spellStart"/>
      <w:r w:rsidR="004040FF" w:rsidRPr="00B46CB1">
        <w:rPr>
          <w:rFonts w:ascii="Times New Roman" w:hAnsi="Times New Roman"/>
          <w:sz w:val="24"/>
          <w:szCs w:val="24"/>
          <w:lang w:val="en-US"/>
        </w:rPr>
        <w:t>heme</w:t>
      </w:r>
      <w:proofErr w:type="spellEnd"/>
      <w:r w:rsidRPr="00B46CB1">
        <w:rPr>
          <w:rFonts w:ascii="Times New Roman" w:hAnsi="Times New Roman"/>
          <w:sz w:val="24"/>
          <w:szCs w:val="24"/>
          <w:lang w:val="en-US"/>
        </w:rPr>
        <w:t xml:space="preserve"> iron. </w:t>
      </w:r>
      <w:proofErr w:type="spellStart"/>
      <w:r w:rsidR="004040FF" w:rsidRPr="00B46CB1">
        <w:rPr>
          <w:rFonts w:ascii="Times New Roman" w:hAnsi="Times New Roman"/>
          <w:sz w:val="24"/>
          <w:szCs w:val="24"/>
          <w:lang w:val="en-US"/>
        </w:rPr>
        <w:t>Heme</w:t>
      </w:r>
      <w:proofErr w:type="spellEnd"/>
      <w:r w:rsidR="004040FF" w:rsidRPr="00B46CB1">
        <w:rPr>
          <w:rFonts w:ascii="Times New Roman" w:hAnsi="Times New Roman"/>
          <w:sz w:val="24"/>
          <w:szCs w:val="24"/>
          <w:lang w:val="en-US"/>
        </w:rPr>
        <w:t xml:space="preserve"> iron</w:t>
      </w:r>
      <w:r w:rsidR="009E0173">
        <w:rPr>
          <w:rFonts w:ascii="Times New Roman" w:hAnsi="Times New Roman"/>
          <w:sz w:val="24"/>
          <w:szCs w:val="24"/>
        </w:rPr>
        <w:t xml:space="preserve"> </w:t>
      </w:r>
      <w:r w:rsidR="00C70136" w:rsidRPr="00B46CB1">
        <w:rPr>
          <w:rFonts w:ascii="Times New Roman" w:hAnsi="Times New Roman"/>
          <w:sz w:val="24"/>
          <w:szCs w:val="24"/>
          <w:lang w:val="en-US"/>
        </w:rPr>
        <w:t xml:space="preserve">can be found in </w:t>
      </w:r>
      <w:r w:rsidR="004040FF" w:rsidRPr="00B46CB1">
        <w:rPr>
          <w:rFonts w:ascii="Times New Roman" w:hAnsi="Times New Roman"/>
          <w:sz w:val="24"/>
          <w:szCs w:val="24"/>
          <w:lang w:val="en-US"/>
        </w:rPr>
        <w:t>animal protein from our diet</w:t>
      </w:r>
      <w:r w:rsidR="005A2A39" w:rsidRPr="00B46CB1">
        <w:rPr>
          <w:rFonts w:ascii="Times New Roman" w:hAnsi="Times New Roman"/>
          <w:sz w:val="24"/>
          <w:szCs w:val="24"/>
          <w:lang w:val="en-US"/>
        </w:rPr>
        <w:t>, while</w:t>
      </w:r>
      <w:r w:rsidR="004040FF" w:rsidRPr="00B46CB1">
        <w:rPr>
          <w:rFonts w:ascii="Times New Roman" w:hAnsi="Times New Roman"/>
          <w:sz w:val="24"/>
          <w:szCs w:val="24"/>
          <w:lang w:val="en-US"/>
        </w:rPr>
        <w:t xml:space="preserve"> non-</w:t>
      </w:r>
      <w:proofErr w:type="spellStart"/>
      <w:r w:rsidR="004040FF" w:rsidRPr="00B46CB1">
        <w:rPr>
          <w:rFonts w:ascii="Times New Roman" w:hAnsi="Times New Roman"/>
          <w:sz w:val="24"/>
          <w:szCs w:val="24"/>
          <w:lang w:val="en-US"/>
        </w:rPr>
        <w:t>heme</w:t>
      </w:r>
      <w:proofErr w:type="spellEnd"/>
      <w:r w:rsidR="004040FF" w:rsidRPr="00B46CB1">
        <w:rPr>
          <w:rFonts w:ascii="Times New Roman" w:hAnsi="Times New Roman"/>
          <w:sz w:val="24"/>
          <w:szCs w:val="24"/>
          <w:lang w:val="en-US"/>
        </w:rPr>
        <w:t xml:space="preserve"> iron can be found in plant-based foods (beans, fruits, vegetables, grains, and tofu) and dairy products (milk, cheese, and eggs). However, dairy products con</w:t>
      </w:r>
      <w:r w:rsidR="00644DC4">
        <w:rPr>
          <w:rFonts w:ascii="Times New Roman" w:hAnsi="Times New Roman"/>
          <w:sz w:val="24"/>
          <w:szCs w:val="24"/>
          <w:lang w:val="en-US"/>
        </w:rPr>
        <w:t xml:space="preserve">tain very low iron </w:t>
      </w:r>
      <w:r w:rsidR="00644DC4">
        <w:rPr>
          <w:rFonts w:ascii="Times New Roman" w:hAnsi="Times New Roman"/>
          <w:sz w:val="24"/>
          <w:szCs w:val="24"/>
        </w:rPr>
        <w:t>[1</w:t>
      </w:r>
      <w:r w:rsidR="00B8289C">
        <w:rPr>
          <w:rFonts w:ascii="Times New Roman" w:hAnsi="Times New Roman"/>
          <w:sz w:val="24"/>
          <w:szCs w:val="24"/>
        </w:rPr>
        <w:t>3</w:t>
      </w:r>
      <w:r w:rsidR="00644DC4">
        <w:rPr>
          <w:rFonts w:ascii="Times New Roman" w:hAnsi="Times New Roman"/>
          <w:sz w:val="24"/>
          <w:szCs w:val="24"/>
        </w:rPr>
        <w:t>]</w:t>
      </w:r>
      <w:r w:rsidR="004040FF" w:rsidRPr="00B46CB1">
        <w:rPr>
          <w:rFonts w:ascii="Times New Roman" w:hAnsi="Times New Roman"/>
          <w:sz w:val="24"/>
          <w:szCs w:val="24"/>
          <w:lang w:val="en-US"/>
        </w:rPr>
        <w:t>.</w:t>
      </w:r>
    </w:p>
    <w:p w:rsidR="004040FF" w:rsidRPr="00B46CB1" w:rsidRDefault="004040FF"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 xml:space="preserve">The main causes of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in women are </w:t>
      </w:r>
      <w:r w:rsidR="005A2A39" w:rsidRPr="00B46CB1">
        <w:rPr>
          <w:rFonts w:ascii="Times New Roman" w:hAnsi="Times New Roman"/>
          <w:sz w:val="24"/>
          <w:szCs w:val="24"/>
        </w:rPr>
        <w:t xml:space="preserve">the </w:t>
      </w:r>
      <w:r w:rsidR="005A2A39" w:rsidRPr="00B46CB1">
        <w:rPr>
          <w:rFonts w:ascii="Times New Roman" w:hAnsi="Times New Roman"/>
          <w:sz w:val="24"/>
          <w:szCs w:val="24"/>
          <w:lang w:val="en-US"/>
        </w:rPr>
        <w:t xml:space="preserve">insufficient </w:t>
      </w:r>
      <w:r w:rsidR="009E0173">
        <w:rPr>
          <w:rFonts w:ascii="Times New Roman" w:hAnsi="Times New Roman"/>
          <w:sz w:val="24"/>
          <w:szCs w:val="24"/>
        </w:rPr>
        <w:t>iron</w:t>
      </w:r>
      <w:r w:rsidR="005A2A39" w:rsidRPr="00B46CB1">
        <w:rPr>
          <w:rFonts w:ascii="Times New Roman" w:hAnsi="Times New Roman"/>
          <w:sz w:val="24"/>
          <w:szCs w:val="24"/>
          <w:lang w:val="en-US"/>
        </w:rPr>
        <w:t xml:space="preserve"> food intake</w:t>
      </w:r>
      <w:r w:rsidRPr="00B46CB1">
        <w:rPr>
          <w:rFonts w:ascii="Times New Roman" w:hAnsi="Times New Roman"/>
          <w:sz w:val="24"/>
          <w:szCs w:val="24"/>
          <w:lang w:val="en-US"/>
        </w:rPr>
        <w:t xml:space="preserve">, </w:t>
      </w:r>
      <w:r w:rsidR="009E0173">
        <w:rPr>
          <w:rFonts w:ascii="Times New Roman" w:hAnsi="Times New Roman"/>
          <w:sz w:val="24"/>
          <w:szCs w:val="24"/>
        </w:rPr>
        <w:t>iron</w:t>
      </w:r>
      <w:r w:rsidRPr="00B46CB1">
        <w:rPr>
          <w:rFonts w:ascii="Times New Roman" w:hAnsi="Times New Roman"/>
          <w:sz w:val="24"/>
          <w:szCs w:val="24"/>
          <w:lang w:val="en-US"/>
        </w:rPr>
        <w:t xml:space="preserve"> needs increase during pr</w:t>
      </w:r>
      <w:r w:rsidR="009E0173">
        <w:rPr>
          <w:rFonts w:ascii="Times New Roman" w:hAnsi="Times New Roman"/>
          <w:sz w:val="24"/>
          <w:szCs w:val="24"/>
          <w:lang w:val="en-US"/>
        </w:rPr>
        <w:t>egnancy and breastfeeding (physi</w:t>
      </w:r>
      <w:r w:rsidRPr="00B46CB1">
        <w:rPr>
          <w:rFonts w:ascii="Times New Roman" w:hAnsi="Times New Roman"/>
          <w:sz w:val="24"/>
          <w:szCs w:val="24"/>
          <w:lang w:val="en-US"/>
        </w:rPr>
        <w:t xml:space="preserve">ology changes), and blood loss. The possibility of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developed from these three factors can climb </w:t>
      </w:r>
      <w:r w:rsidR="009E0173">
        <w:rPr>
          <w:rFonts w:ascii="Times New Roman" w:hAnsi="Times New Roman"/>
          <w:sz w:val="24"/>
          <w:szCs w:val="24"/>
          <w:lang w:val="en-US"/>
        </w:rPr>
        <w:t xml:space="preserve">dramatically when the reserved </w:t>
      </w:r>
      <w:r w:rsidR="009E0173">
        <w:rPr>
          <w:rFonts w:ascii="Times New Roman" w:hAnsi="Times New Roman"/>
          <w:sz w:val="24"/>
          <w:szCs w:val="24"/>
        </w:rPr>
        <w:t>iron</w:t>
      </w:r>
      <w:r w:rsidRPr="00B46CB1">
        <w:rPr>
          <w:rFonts w:ascii="Times New Roman" w:hAnsi="Times New Roman"/>
          <w:sz w:val="24"/>
          <w:szCs w:val="24"/>
          <w:lang w:val="en-US"/>
        </w:rPr>
        <w:t xml:space="preserve"> cannot </w:t>
      </w:r>
      <w:r w:rsidR="009E0173">
        <w:rPr>
          <w:rFonts w:ascii="Times New Roman" w:hAnsi="Times New Roman"/>
          <w:sz w:val="24"/>
          <w:szCs w:val="24"/>
        </w:rPr>
        <w:t>fullfill</w:t>
      </w:r>
      <w:r w:rsidRPr="00B46CB1">
        <w:rPr>
          <w:rFonts w:ascii="Times New Roman" w:hAnsi="Times New Roman"/>
          <w:sz w:val="24"/>
          <w:szCs w:val="24"/>
          <w:lang w:val="en-US"/>
        </w:rPr>
        <w:t xml:space="preserve"> the increase of </w:t>
      </w:r>
      <w:r w:rsidR="009E0173">
        <w:rPr>
          <w:rFonts w:ascii="Times New Roman" w:hAnsi="Times New Roman"/>
          <w:sz w:val="24"/>
          <w:szCs w:val="24"/>
        </w:rPr>
        <w:t>iron</w:t>
      </w:r>
      <w:r w:rsidRPr="00B46CB1">
        <w:rPr>
          <w:rFonts w:ascii="Times New Roman" w:hAnsi="Times New Roman"/>
          <w:sz w:val="24"/>
          <w:szCs w:val="24"/>
          <w:lang w:val="en-US"/>
        </w:rPr>
        <w:t xml:space="preserve"> needs. Women of Childbearing Age are the most susceptible from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because they do not have sufficient </w:t>
      </w:r>
      <w:r w:rsidR="009E0173">
        <w:rPr>
          <w:rFonts w:ascii="Times New Roman" w:hAnsi="Times New Roman"/>
          <w:sz w:val="24"/>
          <w:szCs w:val="24"/>
        </w:rPr>
        <w:t>iron</w:t>
      </w:r>
      <w:r w:rsidRPr="00B46CB1">
        <w:rPr>
          <w:rFonts w:ascii="Times New Roman" w:hAnsi="Times New Roman"/>
          <w:sz w:val="24"/>
          <w:szCs w:val="24"/>
          <w:lang w:val="en-US"/>
        </w:rPr>
        <w:t xml:space="preserve"> intake and reserve for the needs increase a</w:t>
      </w:r>
      <w:r w:rsidR="00644DC4">
        <w:rPr>
          <w:rFonts w:ascii="Times New Roman" w:hAnsi="Times New Roman"/>
          <w:sz w:val="24"/>
          <w:szCs w:val="24"/>
          <w:lang w:val="en-US"/>
        </w:rPr>
        <w:t xml:space="preserve">nd the loss of it </w:t>
      </w:r>
      <w:r w:rsidR="00644DC4">
        <w:rPr>
          <w:rFonts w:ascii="Times New Roman" w:hAnsi="Times New Roman"/>
          <w:sz w:val="24"/>
          <w:szCs w:val="24"/>
        </w:rPr>
        <w:t>[5]</w:t>
      </w:r>
      <w:r w:rsidR="009E0173">
        <w:rPr>
          <w:rFonts w:ascii="Times New Roman" w:hAnsi="Times New Roman"/>
          <w:sz w:val="24"/>
          <w:szCs w:val="24"/>
          <w:lang w:val="en-US"/>
        </w:rPr>
        <w:t xml:space="preserve">. According to </w:t>
      </w:r>
      <w:proofErr w:type="spellStart"/>
      <w:r w:rsidR="009E0173">
        <w:rPr>
          <w:rFonts w:ascii="Times New Roman" w:hAnsi="Times New Roman"/>
          <w:sz w:val="24"/>
          <w:szCs w:val="24"/>
          <w:lang w:val="en-US"/>
        </w:rPr>
        <w:t>Mahirawati</w:t>
      </w:r>
      <w:proofErr w:type="spellEnd"/>
      <w:r w:rsidRPr="00B46CB1">
        <w:rPr>
          <w:rFonts w:ascii="Times New Roman" w:hAnsi="Times New Roman"/>
          <w:sz w:val="24"/>
          <w:szCs w:val="24"/>
          <w:lang w:val="en-US"/>
        </w:rPr>
        <w:t xml:space="preserve">, iron-deficiency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is caused by the imbalance in the needs of body for growth and the loss of blood, as well as the insufficiency of iron from diet. Besides iron, the nutrient needed to develop </w:t>
      </w:r>
      <w:proofErr w:type="spellStart"/>
      <w:r w:rsidRPr="00B46CB1">
        <w:rPr>
          <w:rFonts w:ascii="Times New Roman" w:hAnsi="Times New Roman"/>
          <w:sz w:val="24"/>
          <w:szCs w:val="24"/>
          <w:lang w:val="en-US"/>
        </w:rPr>
        <w:t>haemoglobin</w:t>
      </w:r>
      <w:proofErr w:type="spellEnd"/>
      <w:r w:rsidRPr="00B46CB1">
        <w:rPr>
          <w:rFonts w:ascii="Times New Roman" w:hAnsi="Times New Roman"/>
          <w:sz w:val="24"/>
          <w:szCs w:val="24"/>
          <w:lang w:val="en-US"/>
        </w:rPr>
        <w:t xml:space="preserve"> synthesis is folic acid</w:t>
      </w:r>
      <w:r w:rsidR="009E0173">
        <w:rPr>
          <w:rFonts w:ascii="Times New Roman" w:hAnsi="Times New Roman"/>
          <w:sz w:val="24"/>
          <w:szCs w:val="24"/>
        </w:rPr>
        <w:t xml:space="preserve"> [6]</w:t>
      </w:r>
      <w:r w:rsidRPr="00B46CB1">
        <w:rPr>
          <w:rFonts w:ascii="Times New Roman" w:hAnsi="Times New Roman"/>
          <w:sz w:val="24"/>
          <w:szCs w:val="24"/>
          <w:lang w:val="en-US"/>
        </w:rPr>
        <w:t>.</w:t>
      </w:r>
    </w:p>
    <w:p w:rsidR="00F644A0" w:rsidRPr="00B46CB1" w:rsidRDefault="00F644A0"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 xml:space="preserve">Women of Childbearing Age are susceptible to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because within this period, there is needs increase of iron developed from growth, menstruation, diet, and eating behavior that is inappropriate to the rules of nutrition science. In pregnant women, the impact of </w:t>
      </w:r>
      <w:r w:rsidR="00644DC4">
        <w:rPr>
          <w:rFonts w:ascii="Times New Roman" w:hAnsi="Times New Roman"/>
          <w:sz w:val="24"/>
          <w:szCs w:val="24"/>
          <w:lang w:val="en-US"/>
        </w:rPr>
        <w:t>anemia</w:t>
      </w:r>
      <w:r w:rsidRPr="00B46CB1">
        <w:rPr>
          <w:rFonts w:ascii="Times New Roman" w:hAnsi="Times New Roman"/>
          <w:sz w:val="24"/>
          <w:szCs w:val="24"/>
          <w:lang w:val="en-US"/>
        </w:rPr>
        <w:t xml:space="preserve"> can be </w:t>
      </w:r>
      <w:r w:rsidR="0046145D" w:rsidRPr="00B46CB1">
        <w:rPr>
          <w:rFonts w:ascii="Times New Roman" w:hAnsi="Times New Roman"/>
          <w:sz w:val="24"/>
          <w:szCs w:val="24"/>
          <w:lang w:val="en-US"/>
        </w:rPr>
        <w:t>observed</w:t>
      </w:r>
      <w:r w:rsidR="00031878" w:rsidRPr="00B46CB1">
        <w:rPr>
          <w:rFonts w:ascii="Times New Roman" w:hAnsi="Times New Roman"/>
          <w:sz w:val="24"/>
          <w:szCs w:val="24"/>
          <w:lang w:val="en-US"/>
        </w:rPr>
        <w:t xml:space="preserve"> from the high rates of maternal morbidity and mortality, </w:t>
      </w:r>
      <w:r w:rsidR="008C594C" w:rsidRPr="00B46CB1">
        <w:rPr>
          <w:rFonts w:ascii="Times New Roman" w:hAnsi="Times New Roman"/>
          <w:sz w:val="24"/>
          <w:szCs w:val="24"/>
          <w:lang w:val="en-US"/>
        </w:rPr>
        <w:t xml:space="preserve">fetal morbidity and mortality, </w:t>
      </w:r>
      <w:r w:rsidR="0046145D" w:rsidRPr="00B46CB1">
        <w:rPr>
          <w:rFonts w:ascii="Times New Roman" w:hAnsi="Times New Roman"/>
          <w:sz w:val="24"/>
          <w:szCs w:val="24"/>
          <w:lang w:val="en-US"/>
        </w:rPr>
        <w:t xml:space="preserve">and low birth weight. The main cause of maternal mortality is postpartum and placenta </w:t>
      </w:r>
      <w:proofErr w:type="spellStart"/>
      <w:r w:rsidR="0046145D" w:rsidRPr="00B46CB1">
        <w:rPr>
          <w:rFonts w:ascii="Times New Roman" w:hAnsi="Times New Roman"/>
          <w:sz w:val="24"/>
          <w:szCs w:val="24"/>
          <w:lang w:val="en-US"/>
        </w:rPr>
        <w:t>previa</w:t>
      </w:r>
      <w:proofErr w:type="spellEnd"/>
      <w:r w:rsidR="0046145D" w:rsidRPr="00B46CB1">
        <w:rPr>
          <w:rFonts w:ascii="Times New Roman" w:hAnsi="Times New Roman"/>
          <w:sz w:val="24"/>
          <w:szCs w:val="24"/>
          <w:lang w:val="en-US"/>
        </w:rPr>
        <w:t xml:space="preserve"> that are developed from iron-deficiency </w:t>
      </w:r>
      <w:r w:rsidR="00644DC4">
        <w:rPr>
          <w:rFonts w:ascii="Times New Roman" w:hAnsi="Times New Roman"/>
          <w:sz w:val="24"/>
          <w:szCs w:val="24"/>
          <w:lang w:val="en-US"/>
        </w:rPr>
        <w:t>anemia</w:t>
      </w:r>
      <w:r w:rsidR="009E0173">
        <w:rPr>
          <w:rFonts w:ascii="Times New Roman" w:hAnsi="Times New Roman"/>
          <w:sz w:val="24"/>
          <w:szCs w:val="24"/>
        </w:rPr>
        <w:t xml:space="preserve"> [15]</w:t>
      </w:r>
      <w:r w:rsidR="0046145D" w:rsidRPr="00B46CB1">
        <w:rPr>
          <w:rFonts w:ascii="Times New Roman" w:hAnsi="Times New Roman"/>
          <w:sz w:val="24"/>
          <w:szCs w:val="24"/>
          <w:lang w:val="en-US"/>
        </w:rPr>
        <w:t>.</w:t>
      </w:r>
    </w:p>
    <w:p w:rsidR="0046145D" w:rsidRPr="00B46CB1" w:rsidRDefault="0046145D" w:rsidP="00C5236D">
      <w:pPr>
        <w:spacing w:after="0" w:line="360" w:lineRule="auto"/>
        <w:ind w:firstLine="709"/>
        <w:jc w:val="both"/>
        <w:rPr>
          <w:rFonts w:ascii="Times New Roman" w:hAnsi="Times New Roman"/>
          <w:sz w:val="24"/>
          <w:szCs w:val="24"/>
          <w:lang w:val="en-US"/>
        </w:rPr>
      </w:pPr>
      <w:r w:rsidRPr="00B46CB1">
        <w:rPr>
          <w:rFonts w:ascii="Times New Roman" w:hAnsi="Times New Roman"/>
          <w:sz w:val="24"/>
          <w:szCs w:val="24"/>
          <w:lang w:val="en-US"/>
        </w:rPr>
        <w:t xml:space="preserve">Insufficient iron intake in WCA were mostly because they consumed </w:t>
      </w:r>
      <w:r w:rsidR="00BD7002">
        <w:rPr>
          <w:rFonts w:ascii="Times New Roman" w:hAnsi="Times New Roman"/>
          <w:sz w:val="24"/>
          <w:szCs w:val="24"/>
          <w:lang w:val="en-US"/>
        </w:rPr>
        <w:t xml:space="preserve">vegetables which </w:t>
      </w:r>
      <w:r w:rsidR="00BD7002">
        <w:rPr>
          <w:rFonts w:ascii="Times New Roman" w:hAnsi="Times New Roman"/>
          <w:sz w:val="24"/>
          <w:szCs w:val="24"/>
        </w:rPr>
        <w:t>had</w:t>
      </w:r>
      <w:r w:rsidR="0009148F" w:rsidRPr="00B46CB1">
        <w:rPr>
          <w:rFonts w:ascii="Times New Roman" w:hAnsi="Times New Roman"/>
          <w:sz w:val="24"/>
          <w:szCs w:val="24"/>
          <w:lang w:val="en-US"/>
        </w:rPr>
        <w:t xml:space="preserve"> iron was difficult to be absorbed and </w:t>
      </w:r>
      <w:r w:rsidRPr="00B46CB1">
        <w:rPr>
          <w:rFonts w:ascii="Times New Roman" w:hAnsi="Times New Roman"/>
          <w:sz w:val="24"/>
          <w:szCs w:val="24"/>
          <w:lang w:val="en-US"/>
        </w:rPr>
        <w:t>white meat like</w:t>
      </w:r>
      <w:r w:rsidR="0009148F" w:rsidRPr="00B46CB1">
        <w:rPr>
          <w:rFonts w:ascii="Times New Roman" w:hAnsi="Times New Roman"/>
          <w:sz w:val="24"/>
          <w:szCs w:val="24"/>
          <w:lang w:val="en-US"/>
        </w:rPr>
        <w:t xml:space="preserve"> fish and chicken instead of red meat that is iron-rich like beef and lamb. From the interview, </w:t>
      </w:r>
      <w:r w:rsidR="00BD7002">
        <w:rPr>
          <w:rFonts w:ascii="Times New Roman" w:hAnsi="Times New Roman"/>
          <w:sz w:val="24"/>
          <w:szCs w:val="24"/>
        </w:rPr>
        <w:t xml:space="preserve">we </w:t>
      </w:r>
      <w:r w:rsidR="0009148F" w:rsidRPr="00B46CB1">
        <w:rPr>
          <w:rFonts w:ascii="Times New Roman" w:hAnsi="Times New Roman"/>
          <w:sz w:val="24"/>
          <w:szCs w:val="24"/>
          <w:lang w:val="en-US"/>
        </w:rPr>
        <w:t xml:space="preserve">also obtained </w:t>
      </w:r>
      <w:r w:rsidR="005A2A39" w:rsidRPr="00B46CB1">
        <w:rPr>
          <w:rFonts w:ascii="Times New Roman" w:hAnsi="Times New Roman"/>
          <w:sz w:val="24"/>
          <w:szCs w:val="24"/>
          <w:lang w:val="en-US"/>
        </w:rPr>
        <w:t>information</w:t>
      </w:r>
      <w:r w:rsidR="0009148F" w:rsidRPr="00B46CB1">
        <w:rPr>
          <w:rFonts w:ascii="Times New Roman" w:hAnsi="Times New Roman"/>
          <w:sz w:val="24"/>
          <w:szCs w:val="24"/>
          <w:lang w:val="en-US"/>
        </w:rPr>
        <w:t xml:space="preserve"> that the WCA who became respondents often drank tea that actually could prevent iron absorption.</w:t>
      </w:r>
    </w:p>
    <w:p w:rsidR="0009148F" w:rsidRDefault="005A2A39" w:rsidP="00C5236D">
      <w:pPr>
        <w:spacing w:after="0" w:line="360" w:lineRule="auto"/>
        <w:ind w:firstLine="709"/>
        <w:jc w:val="both"/>
        <w:rPr>
          <w:rFonts w:ascii="Times New Roman" w:hAnsi="Times New Roman"/>
          <w:sz w:val="24"/>
          <w:szCs w:val="24"/>
        </w:rPr>
      </w:pPr>
      <w:r w:rsidRPr="00B46CB1">
        <w:rPr>
          <w:rFonts w:ascii="Times New Roman" w:hAnsi="Times New Roman"/>
          <w:sz w:val="24"/>
          <w:szCs w:val="24"/>
          <w:lang w:val="en-US"/>
        </w:rPr>
        <w:t>Iron needs have</w:t>
      </w:r>
      <w:r w:rsidR="0009148F" w:rsidRPr="00B46CB1">
        <w:rPr>
          <w:rFonts w:ascii="Times New Roman" w:hAnsi="Times New Roman"/>
          <w:sz w:val="24"/>
          <w:szCs w:val="24"/>
          <w:lang w:val="en-US"/>
        </w:rPr>
        <w:t xml:space="preserve"> strong correlation with </w:t>
      </w:r>
      <w:r w:rsidR="00644DC4">
        <w:rPr>
          <w:rFonts w:ascii="Times New Roman" w:hAnsi="Times New Roman"/>
          <w:sz w:val="24"/>
          <w:szCs w:val="24"/>
          <w:lang w:val="en-US"/>
        </w:rPr>
        <w:t>anemia</w:t>
      </w:r>
      <w:r w:rsidR="0009148F" w:rsidRPr="00B46CB1">
        <w:rPr>
          <w:rFonts w:ascii="Times New Roman" w:hAnsi="Times New Roman"/>
          <w:sz w:val="24"/>
          <w:szCs w:val="24"/>
          <w:lang w:val="en-US"/>
        </w:rPr>
        <w:t xml:space="preserve"> prevalence because </w:t>
      </w:r>
      <w:r w:rsidR="00644DC4">
        <w:rPr>
          <w:rFonts w:ascii="Times New Roman" w:hAnsi="Times New Roman"/>
          <w:sz w:val="24"/>
          <w:szCs w:val="24"/>
          <w:lang w:val="en-US"/>
        </w:rPr>
        <w:t>anemia</w:t>
      </w:r>
      <w:r w:rsidR="0009148F" w:rsidRPr="00B46CB1">
        <w:rPr>
          <w:rFonts w:ascii="Times New Roman" w:hAnsi="Times New Roman"/>
          <w:sz w:val="24"/>
          <w:szCs w:val="24"/>
          <w:lang w:val="en-US"/>
        </w:rPr>
        <w:t xml:space="preserve"> is a form of adaptation from </w:t>
      </w:r>
      <w:r w:rsidR="00BD7002">
        <w:rPr>
          <w:rFonts w:ascii="Times New Roman" w:hAnsi="Times New Roman"/>
          <w:sz w:val="24"/>
          <w:szCs w:val="24"/>
        </w:rPr>
        <w:t>physiology</w:t>
      </w:r>
      <w:r w:rsidR="0009148F" w:rsidRPr="00B46CB1">
        <w:rPr>
          <w:rFonts w:ascii="Times New Roman" w:hAnsi="Times New Roman"/>
          <w:sz w:val="24"/>
          <w:szCs w:val="24"/>
          <w:lang w:val="en-US"/>
        </w:rPr>
        <w:t xml:space="preserve"> changes during pregnancy that is developed from: iron needs </w:t>
      </w:r>
      <w:r w:rsidR="0009148F" w:rsidRPr="00B46CB1">
        <w:rPr>
          <w:rFonts w:ascii="Times New Roman" w:hAnsi="Times New Roman"/>
          <w:sz w:val="24"/>
          <w:szCs w:val="24"/>
          <w:lang w:val="en-US"/>
        </w:rPr>
        <w:lastRenderedPageBreak/>
        <w:t>increase for fetus growth, insufficient iron intake from the daily food</w:t>
      </w:r>
      <w:r w:rsidR="000F4135" w:rsidRPr="00B46CB1">
        <w:rPr>
          <w:rFonts w:ascii="Times New Roman" w:hAnsi="Times New Roman"/>
          <w:sz w:val="24"/>
          <w:szCs w:val="24"/>
          <w:lang w:val="en-US"/>
        </w:rPr>
        <w:t xml:space="preserve">s consumed, and </w:t>
      </w:r>
      <w:r w:rsidR="0009148F" w:rsidRPr="00B46CB1">
        <w:rPr>
          <w:rFonts w:ascii="Times New Roman" w:hAnsi="Times New Roman"/>
          <w:sz w:val="24"/>
          <w:szCs w:val="24"/>
          <w:lang w:val="en-US"/>
        </w:rPr>
        <w:t>low reserved iron</w:t>
      </w:r>
      <w:r w:rsidR="000F4135" w:rsidRPr="00B46CB1">
        <w:rPr>
          <w:rFonts w:ascii="Times New Roman" w:hAnsi="Times New Roman"/>
          <w:sz w:val="24"/>
          <w:szCs w:val="24"/>
          <w:lang w:val="en-US"/>
        </w:rPr>
        <w:t xml:space="preserve"> tendency</w:t>
      </w:r>
      <w:r w:rsidR="0009148F" w:rsidRPr="00B46CB1">
        <w:rPr>
          <w:rFonts w:ascii="Times New Roman" w:hAnsi="Times New Roman"/>
          <w:sz w:val="24"/>
          <w:szCs w:val="24"/>
          <w:lang w:val="en-US"/>
        </w:rPr>
        <w:t xml:space="preserve"> in women.</w:t>
      </w:r>
      <w:r w:rsidR="000F4135" w:rsidRPr="00B46CB1">
        <w:rPr>
          <w:rFonts w:ascii="Times New Roman" w:hAnsi="Times New Roman"/>
          <w:sz w:val="24"/>
          <w:szCs w:val="24"/>
          <w:lang w:val="en-US"/>
        </w:rPr>
        <w:t xml:space="preserve"> Menstruation </w:t>
      </w:r>
      <w:r w:rsidRPr="00B46CB1">
        <w:rPr>
          <w:rFonts w:ascii="Times New Roman" w:hAnsi="Times New Roman"/>
          <w:sz w:val="24"/>
          <w:szCs w:val="24"/>
          <w:lang w:val="en-US"/>
        </w:rPr>
        <w:t>will</w:t>
      </w:r>
      <w:r w:rsidR="000F4135" w:rsidRPr="00B46CB1">
        <w:rPr>
          <w:rFonts w:ascii="Times New Roman" w:hAnsi="Times New Roman"/>
          <w:sz w:val="24"/>
          <w:szCs w:val="24"/>
          <w:lang w:val="en-US"/>
        </w:rPr>
        <w:t xml:space="preserve"> also increase iron needs in the body.</w:t>
      </w:r>
      <w:r w:rsidR="00AF2888" w:rsidRPr="00B46CB1">
        <w:rPr>
          <w:rFonts w:ascii="Times New Roman" w:hAnsi="Times New Roman"/>
          <w:sz w:val="24"/>
          <w:szCs w:val="24"/>
          <w:lang w:val="en-US"/>
        </w:rPr>
        <w:t xml:space="preserve"> Iron deficiency can principally be </w:t>
      </w:r>
      <w:r w:rsidRPr="00B46CB1">
        <w:rPr>
          <w:rFonts w:ascii="Times New Roman" w:hAnsi="Times New Roman"/>
          <w:sz w:val="24"/>
          <w:szCs w:val="24"/>
          <w:lang w:val="en-US"/>
        </w:rPr>
        <w:t>overcome</w:t>
      </w:r>
      <w:r w:rsidR="00AF2888" w:rsidRPr="00B46CB1">
        <w:rPr>
          <w:rFonts w:ascii="Times New Roman" w:hAnsi="Times New Roman"/>
          <w:sz w:val="24"/>
          <w:szCs w:val="24"/>
          <w:lang w:val="en-US"/>
        </w:rPr>
        <w:t xml:space="preserve"> by changing eating behavior because basically </w:t>
      </w:r>
      <w:r w:rsidR="00644DC4">
        <w:rPr>
          <w:rFonts w:ascii="Times New Roman" w:hAnsi="Times New Roman"/>
          <w:sz w:val="24"/>
          <w:szCs w:val="24"/>
          <w:lang w:val="en-US"/>
        </w:rPr>
        <w:t>anemia</w:t>
      </w:r>
      <w:r w:rsidR="00AF2888" w:rsidRPr="00B46CB1">
        <w:rPr>
          <w:rFonts w:ascii="Times New Roman" w:hAnsi="Times New Roman"/>
          <w:sz w:val="24"/>
          <w:szCs w:val="24"/>
          <w:lang w:val="en-US"/>
        </w:rPr>
        <w:t xml:space="preserve"> is caused by insufficient iron intake from foods</w:t>
      </w:r>
      <w:r w:rsidR="001950A9" w:rsidRPr="00B46CB1">
        <w:rPr>
          <w:rFonts w:ascii="Times New Roman" w:hAnsi="Times New Roman"/>
          <w:sz w:val="24"/>
          <w:szCs w:val="24"/>
          <w:lang w:val="en-US"/>
        </w:rPr>
        <w:t xml:space="preserve"> and low bioavailability of iron consumed. Therefore, </w:t>
      </w:r>
      <w:r w:rsidR="00E91B78" w:rsidRPr="00B46CB1">
        <w:rPr>
          <w:rFonts w:ascii="Times New Roman" w:hAnsi="Times New Roman"/>
          <w:sz w:val="24"/>
          <w:szCs w:val="24"/>
          <w:lang w:val="en-US"/>
        </w:rPr>
        <w:t xml:space="preserve">increasing food quality is one of the alternatives for a </w:t>
      </w:r>
      <w:r w:rsidR="00644DC4">
        <w:rPr>
          <w:rFonts w:ascii="Times New Roman" w:hAnsi="Times New Roman"/>
          <w:sz w:val="24"/>
          <w:szCs w:val="24"/>
          <w:lang w:val="en-US"/>
        </w:rPr>
        <w:t xml:space="preserve">long-term plan </w:t>
      </w:r>
      <w:r w:rsidR="00644DC4">
        <w:rPr>
          <w:rFonts w:ascii="Times New Roman" w:hAnsi="Times New Roman"/>
          <w:sz w:val="24"/>
          <w:szCs w:val="24"/>
        </w:rPr>
        <w:t>[1</w:t>
      </w:r>
      <w:r w:rsidR="009E0173">
        <w:rPr>
          <w:rFonts w:ascii="Times New Roman" w:hAnsi="Times New Roman"/>
          <w:sz w:val="24"/>
          <w:szCs w:val="24"/>
        </w:rPr>
        <w:t>6</w:t>
      </w:r>
      <w:r w:rsidR="00644DC4">
        <w:rPr>
          <w:rFonts w:ascii="Times New Roman" w:hAnsi="Times New Roman"/>
          <w:sz w:val="24"/>
          <w:szCs w:val="24"/>
        </w:rPr>
        <w:t>]</w:t>
      </w:r>
      <w:r w:rsidR="00E91B78" w:rsidRPr="00B46CB1">
        <w:rPr>
          <w:rFonts w:ascii="Times New Roman" w:hAnsi="Times New Roman"/>
          <w:sz w:val="24"/>
          <w:szCs w:val="24"/>
          <w:lang w:val="en-US"/>
        </w:rPr>
        <w:t>.</w:t>
      </w:r>
    </w:p>
    <w:p w:rsidR="00B46CB1" w:rsidRDefault="00B46CB1" w:rsidP="00C5236D">
      <w:pPr>
        <w:spacing w:after="0" w:line="360" w:lineRule="auto"/>
        <w:ind w:firstLine="709"/>
        <w:jc w:val="both"/>
        <w:rPr>
          <w:rFonts w:ascii="Times New Roman" w:hAnsi="Times New Roman"/>
          <w:sz w:val="24"/>
          <w:szCs w:val="24"/>
        </w:rPr>
      </w:pPr>
    </w:p>
    <w:p w:rsidR="005352BB" w:rsidRDefault="005352BB" w:rsidP="00C5236D">
      <w:pPr>
        <w:spacing w:after="0" w:line="360" w:lineRule="auto"/>
        <w:jc w:val="both"/>
        <w:rPr>
          <w:rFonts w:ascii="Times New Roman" w:hAnsi="Times New Roman"/>
          <w:b/>
          <w:sz w:val="24"/>
          <w:szCs w:val="24"/>
        </w:rPr>
      </w:pPr>
      <w:r>
        <w:rPr>
          <w:rFonts w:ascii="Times New Roman" w:hAnsi="Times New Roman"/>
          <w:b/>
          <w:sz w:val="24"/>
          <w:szCs w:val="24"/>
        </w:rPr>
        <w:t>4. Conclusion</w:t>
      </w:r>
    </w:p>
    <w:p w:rsidR="005352BB" w:rsidRDefault="005352BB" w:rsidP="005352BB">
      <w:pPr>
        <w:spacing w:after="0" w:line="360" w:lineRule="auto"/>
        <w:jc w:val="both"/>
        <w:rPr>
          <w:rFonts w:ascii="Times New Roman" w:hAnsi="Times New Roman"/>
          <w:sz w:val="24"/>
          <w:szCs w:val="24"/>
        </w:rPr>
      </w:pPr>
      <w:r>
        <w:rPr>
          <w:rFonts w:ascii="Times New Roman" w:hAnsi="Times New Roman"/>
          <w:sz w:val="24"/>
          <w:szCs w:val="24"/>
        </w:rPr>
        <w:t>Chronic energy malnutrition describes inadequate of</w:t>
      </w:r>
      <w:r w:rsidRPr="00B46CB1">
        <w:rPr>
          <w:rFonts w:ascii="Times New Roman" w:hAnsi="Times New Roman"/>
          <w:sz w:val="24"/>
          <w:szCs w:val="24"/>
          <w:lang w:val="en-US"/>
        </w:rPr>
        <w:t xml:space="preserve"> nutritional status </w:t>
      </w:r>
      <w:r>
        <w:rPr>
          <w:rFonts w:ascii="Times New Roman" w:hAnsi="Times New Roman"/>
          <w:sz w:val="24"/>
          <w:szCs w:val="24"/>
        </w:rPr>
        <w:t>in</w:t>
      </w:r>
      <w:r w:rsidRPr="00B46CB1">
        <w:rPr>
          <w:rFonts w:ascii="Times New Roman" w:hAnsi="Times New Roman"/>
          <w:sz w:val="24"/>
          <w:szCs w:val="24"/>
          <w:lang w:val="en-US"/>
        </w:rPr>
        <w:t xml:space="preserve"> individuals, </w:t>
      </w:r>
      <w:r>
        <w:rPr>
          <w:rFonts w:ascii="Times New Roman" w:hAnsi="Times New Roman"/>
          <w:sz w:val="24"/>
          <w:szCs w:val="24"/>
        </w:rPr>
        <w:t xml:space="preserve">and it is </w:t>
      </w:r>
      <w:r w:rsidRPr="00B46CB1">
        <w:rPr>
          <w:rFonts w:ascii="Times New Roman" w:hAnsi="Times New Roman"/>
          <w:sz w:val="24"/>
          <w:szCs w:val="24"/>
          <w:lang w:val="en-US"/>
        </w:rPr>
        <w:t xml:space="preserve">the higher their risk to suffer from </w:t>
      </w:r>
      <w:r>
        <w:rPr>
          <w:rFonts w:ascii="Times New Roman" w:hAnsi="Times New Roman"/>
          <w:sz w:val="24"/>
          <w:szCs w:val="24"/>
          <w:lang w:val="en-US"/>
        </w:rPr>
        <w:t>anemia</w:t>
      </w:r>
      <w:r w:rsidRPr="00B46CB1">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Anemia</w:t>
      </w:r>
      <w:r w:rsidRPr="00B46CB1">
        <w:rPr>
          <w:rFonts w:ascii="Times New Roman" w:hAnsi="Times New Roman"/>
          <w:sz w:val="24"/>
          <w:szCs w:val="24"/>
          <w:lang w:val="en-US"/>
        </w:rPr>
        <w:t xml:space="preserve"> was affected by</w:t>
      </w:r>
      <w:r>
        <w:rPr>
          <w:rFonts w:ascii="Times New Roman" w:hAnsi="Times New Roman"/>
          <w:sz w:val="24"/>
          <w:szCs w:val="24"/>
        </w:rPr>
        <w:t xml:space="preserve"> </w:t>
      </w:r>
      <w:r w:rsidRPr="00B46CB1">
        <w:rPr>
          <w:rFonts w:ascii="Times New Roman" w:hAnsi="Times New Roman"/>
          <w:sz w:val="24"/>
          <w:szCs w:val="24"/>
          <w:lang w:val="en-US"/>
        </w:rPr>
        <w:t>individuals’</w:t>
      </w:r>
      <w:r>
        <w:rPr>
          <w:rFonts w:ascii="Times New Roman" w:hAnsi="Times New Roman"/>
          <w:sz w:val="24"/>
          <w:szCs w:val="24"/>
        </w:rPr>
        <w:t xml:space="preserve"> </w:t>
      </w:r>
      <w:r w:rsidRPr="00B46CB1">
        <w:rPr>
          <w:rFonts w:ascii="Times New Roman" w:hAnsi="Times New Roman"/>
          <w:sz w:val="24"/>
          <w:szCs w:val="24"/>
          <w:lang w:val="en-US"/>
        </w:rPr>
        <w:t xml:space="preserve">daily eating behavior of low iron foods besides the existence of infectious </w:t>
      </w:r>
      <w:r>
        <w:rPr>
          <w:rFonts w:ascii="Times New Roman" w:hAnsi="Times New Roman"/>
          <w:sz w:val="24"/>
          <w:szCs w:val="24"/>
          <w:lang w:val="en-US"/>
        </w:rPr>
        <w:t>trigger factor</w:t>
      </w:r>
      <w:r>
        <w:rPr>
          <w:rFonts w:ascii="Times New Roman" w:hAnsi="Times New Roman"/>
          <w:sz w:val="24"/>
          <w:szCs w:val="24"/>
        </w:rPr>
        <w:t xml:space="preserve">. </w:t>
      </w:r>
      <w:r w:rsidRPr="00B46CB1">
        <w:rPr>
          <w:rFonts w:ascii="Times New Roman" w:hAnsi="Times New Roman"/>
          <w:sz w:val="24"/>
          <w:szCs w:val="24"/>
          <w:lang w:val="en-US"/>
        </w:rPr>
        <w:t>The anemic condition of the W</w:t>
      </w:r>
      <w:r>
        <w:rPr>
          <w:rFonts w:ascii="Times New Roman" w:hAnsi="Times New Roman"/>
          <w:sz w:val="24"/>
          <w:szCs w:val="24"/>
        </w:rPr>
        <w:t xml:space="preserve">omen of </w:t>
      </w:r>
      <w:r w:rsidRPr="00B46CB1">
        <w:rPr>
          <w:rFonts w:ascii="Times New Roman" w:hAnsi="Times New Roman"/>
          <w:sz w:val="24"/>
          <w:szCs w:val="24"/>
          <w:lang w:val="en-US"/>
        </w:rPr>
        <w:t>C</w:t>
      </w:r>
      <w:r>
        <w:rPr>
          <w:rFonts w:ascii="Times New Roman" w:hAnsi="Times New Roman"/>
          <w:sz w:val="24"/>
          <w:szCs w:val="24"/>
        </w:rPr>
        <w:t xml:space="preserve">hildbearing </w:t>
      </w:r>
      <w:r w:rsidRPr="00B46CB1">
        <w:rPr>
          <w:rFonts w:ascii="Times New Roman" w:hAnsi="Times New Roman"/>
          <w:sz w:val="24"/>
          <w:szCs w:val="24"/>
          <w:lang w:val="en-US"/>
        </w:rPr>
        <w:t>A</w:t>
      </w:r>
      <w:r>
        <w:rPr>
          <w:rFonts w:ascii="Times New Roman" w:hAnsi="Times New Roman"/>
          <w:sz w:val="24"/>
          <w:szCs w:val="24"/>
        </w:rPr>
        <w:t>ge</w:t>
      </w:r>
      <w:r w:rsidRPr="00B46CB1">
        <w:rPr>
          <w:rFonts w:ascii="Times New Roman" w:hAnsi="Times New Roman"/>
          <w:sz w:val="24"/>
          <w:szCs w:val="24"/>
          <w:lang w:val="en-US"/>
        </w:rPr>
        <w:t xml:space="preserve"> often continues when they are pregnant that can increase the risks of complication on pregnancy and birth delivery such as maternal mortality, preterm delivery, low birth weight, prenatal mortality, as well as the increased risk of antepartum and postpartum </w:t>
      </w:r>
      <w:r>
        <w:rPr>
          <w:rFonts w:ascii="Times New Roman" w:hAnsi="Times New Roman"/>
          <w:sz w:val="24"/>
          <w:szCs w:val="24"/>
          <w:lang w:val="en-US"/>
        </w:rPr>
        <w:t>bleeding</w:t>
      </w:r>
      <w:r>
        <w:rPr>
          <w:rFonts w:ascii="Times New Roman" w:hAnsi="Times New Roman"/>
          <w:sz w:val="24"/>
          <w:szCs w:val="24"/>
        </w:rPr>
        <w:t>.</w:t>
      </w:r>
    </w:p>
    <w:p w:rsidR="005352BB" w:rsidRPr="005352BB" w:rsidRDefault="005352BB" w:rsidP="005352BB">
      <w:pPr>
        <w:spacing w:after="0" w:line="360" w:lineRule="auto"/>
        <w:jc w:val="both"/>
        <w:rPr>
          <w:rFonts w:ascii="Times New Roman" w:hAnsi="Times New Roman"/>
          <w:sz w:val="24"/>
          <w:szCs w:val="24"/>
        </w:rPr>
      </w:pPr>
      <w:r>
        <w:rPr>
          <w:rFonts w:ascii="Times New Roman" w:hAnsi="Times New Roman"/>
          <w:sz w:val="24"/>
          <w:szCs w:val="24"/>
        </w:rPr>
        <w:t xml:space="preserve">We believe that to increase the quality of life in women of childbearing age, in facts they become pregnant women, we must </w:t>
      </w:r>
      <w:r w:rsidR="00BF5AA7">
        <w:rPr>
          <w:rFonts w:ascii="Times New Roman" w:hAnsi="Times New Roman"/>
          <w:sz w:val="24"/>
          <w:szCs w:val="24"/>
        </w:rPr>
        <w:t>reduce the chronic energy malnutrition and anemia in the women.</w:t>
      </w:r>
    </w:p>
    <w:p w:rsidR="005352BB" w:rsidRDefault="005352BB" w:rsidP="00C5236D">
      <w:pPr>
        <w:spacing w:after="0" w:line="360" w:lineRule="auto"/>
        <w:jc w:val="both"/>
        <w:rPr>
          <w:rFonts w:ascii="Times New Roman" w:hAnsi="Times New Roman"/>
          <w:b/>
          <w:sz w:val="24"/>
          <w:szCs w:val="24"/>
        </w:rPr>
      </w:pPr>
    </w:p>
    <w:p w:rsidR="00BF5AA7" w:rsidRPr="00BF5AA7" w:rsidRDefault="00BF5AA7" w:rsidP="00BF5AA7">
      <w:pPr>
        <w:spacing w:after="0" w:line="360" w:lineRule="auto"/>
        <w:jc w:val="both"/>
        <w:rPr>
          <w:rFonts w:ascii="Times New Roman" w:hAnsi="Times New Roman"/>
          <w:b/>
          <w:bCs/>
          <w:sz w:val="24"/>
          <w:szCs w:val="24"/>
        </w:rPr>
      </w:pPr>
      <w:r w:rsidRPr="00BF5AA7">
        <w:rPr>
          <w:rFonts w:ascii="Times New Roman" w:hAnsi="Times New Roman"/>
          <w:b/>
          <w:bCs/>
          <w:sz w:val="24"/>
          <w:szCs w:val="24"/>
        </w:rPr>
        <w:t>Acknowledgement</w:t>
      </w:r>
    </w:p>
    <w:p w:rsidR="00BF5AA7" w:rsidRDefault="00BF5AA7" w:rsidP="00BF5AA7">
      <w:pPr>
        <w:spacing w:after="0" w:line="360" w:lineRule="auto"/>
        <w:jc w:val="both"/>
        <w:rPr>
          <w:rFonts w:ascii="Times New Roman" w:hAnsi="Times New Roman"/>
          <w:b/>
          <w:sz w:val="24"/>
          <w:szCs w:val="24"/>
        </w:rPr>
      </w:pPr>
      <w:r w:rsidRPr="00BF5AA7">
        <w:rPr>
          <w:rFonts w:ascii="Times New Roman" w:hAnsi="Times New Roman"/>
          <w:sz w:val="24"/>
          <w:szCs w:val="24"/>
        </w:rPr>
        <w:t xml:space="preserve">This work was supported by an internal grant of </w:t>
      </w:r>
      <w:r>
        <w:rPr>
          <w:rFonts w:ascii="Times New Roman" w:hAnsi="Times New Roman"/>
          <w:sz w:val="24"/>
          <w:szCs w:val="24"/>
        </w:rPr>
        <w:t>Medical Faculty of Lampung University</w:t>
      </w:r>
      <w:r w:rsidRPr="00BF5AA7">
        <w:rPr>
          <w:rFonts w:ascii="Times New Roman" w:hAnsi="Times New Roman"/>
          <w:b/>
          <w:sz w:val="24"/>
          <w:szCs w:val="24"/>
        </w:rPr>
        <w:t>.</w:t>
      </w:r>
    </w:p>
    <w:p w:rsidR="00BF5AA7" w:rsidRDefault="00BF5AA7" w:rsidP="00C5236D">
      <w:pPr>
        <w:spacing w:after="0" w:line="360" w:lineRule="auto"/>
        <w:jc w:val="both"/>
        <w:rPr>
          <w:rFonts w:ascii="Times New Roman" w:hAnsi="Times New Roman"/>
          <w:b/>
          <w:sz w:val="24"/>
          <w:szCs w:val="24"/>
        </w:rPr>
      </w:pPr>
    </w:p>
    <w:p w:rsidR="00B46CB1" w:rsidRDefault="00B46CB1" w:rsidP="00C5236D">
      <w:pPr>
        <w:spacing w:after="0" w:line="360" w:lineRule="auto"/>
        <w:jc w:val="both"/>
        <w:rPr>
          <w:rFonts w:ascii="Times New Roman" w:hAnsi="Times New Roman"/>
          <w:b/>
          <w:sz w:val="24"/>
          <w:szCs w:val="24"/>
        </w:rPr>
      </w:pPr>
      <w:r>
        <w:rPr>
          <w:rFonts w:ascii="Times New Roman" w:hAnsi="Times New Roman"/>
          <w:b/>
          <w:sz w:val="24"/>
          <w:szCs w:val="24"/>
        </w:rPr>
        <w:t>Reference</w:t>
      </w:r>
    </w:p>
    <w:p w:rsidR="00651223" w:rsidRPr="00644DC4" w:rsidRDefault="00CA5852" w:rsidP="00C5236D">
      <w:pPr>
        <w:numPr>
          <w:ilvl w:val="0"/>
          <w:numId w:val="5"/>
        </w:numPr>
        <w:spacing w:after="0" w:line="360" w:lineRule="auto"/>
        <w:jc w:val="both"/>
        <w:rPr>
          <w:rFonts w:ascii="Times New Roman" w:hAnsi="Times New Roman"/>
          <w:sz w:val="24"/>
          <w:szCs w:val="24"/>
        </w:rPr>
      </w:pPr>
      <w:r w:rsidRPr="00644DC4">
        <w:rPr>
          <w:rFonts w:ascii="Times New Roman" w:hAnsi="Times New Roman"/>
          <w:sz w:val="24"/>
          <w:szCs w:val="24"/>
        </w:rPr>
        <w:t xml:space="preserve">WHO. </w:t>
      </w:r>
      <w:r w:rsidRPr="00BF5AA7">
        <w:rPr>
          <w:rFonts w:ascii="Times New Roman" w:hAnsi="Times New Roman"/>
          <w:iCs/>
          <w:sz w:val="24"/>
          <w:szCs w:val="24"/>
        </w:rPr>
        <w:t xml:space="preserve">Worldwide Prevalence of </w:t>
      </w:r>
      <w:r w:rsidR="00644DC4" w:rsidRPr="00BF5AA7">
        <w:rPr>
          <w:rFonts w:ascii="Times New Roman" w:hAnsi="Times New Roman"/>
          <w:iCs/>
          <w:sz w:val="24"/>
          <w:szCs w:val="24"/>
        </w:rPr>
        <w:t>Anemia</w:t>
      </w:r>
      <w:r w:rsidR="00573F76">
        <w:rPr>
          <w:rFonts w:ascii="Times New Roman" w:hAnsi="Times New Roman"/>
          <w:sz w:val="24"/>
          <w:szCs w:val="24"/>
        </w:rPr>
        <w:t xml:space="preserve">. Geneva. </w:t>
      </w:r>
      <w:r w:rsidRPr="00644DC4">
        <w:rPr>
          <w:rFonts w:ascii="Times New Roman" w:hAnsi="Times New Roman"/>
          <w:sz w:val="24"/>
          <w:szCs w:val="24"/>
        </w:rPr>
        <w:t>Switzerland: World Health Organization.</w:t>
      </w:r>
      <w:r w:rsidR="00573F76">
        <w:rPr>
          <w:rFonts w:ascii="Times New Roman" w:hAnsi="Times New Roman"/>
          <w:sz w:val="24"/>
          <w:szCs w:val="24"/>
        </w:rPr>
        <w:t xml:space="preserve"> 2008.</w:t>
      </w:r>
    </w:p>
    <w:p w:rsidR="00CA5852" w:rsidRPr="00573F76" w:rsidRDefault="00CA5852" w:rsidP="00C5236D">
      <w:pPr>
        <w:numPr>
          <w:ilvl w:val="0"/>
          <w:numId w:val="5"/>
        </w:numPr>
        <w:spacing w:after="0" w:line="360" w:lineRule="auto"/>
        <w:jc w:val="both"/>
        <w:rPr>
          <w:rFonts w:ascii="Times New Roman" w:hAnsi="Times New Roman"/>
          <w:sz w:val="24"/>
          <w:szCs w:val="24"/>
        </w:rPr>
      </w:pPr>
      <w:r w:rsidRPr="00644DC4">
        <w:rPr>
          <w:rFonts w:ascii="Times New Roman" w:hAnsi="Times New Roman"/>
          <w:sz w:val="24"/>
          <w:szCs w:val="24"/>
        </w:rPr>
        <w:t xml:space="preserve">Kiswari R. </w:t>
      </w:r>
      <w:r w:rsidRPr="00573F76">
        <w:rPr>
          <w:rFonts w:ascii="Times New Roman" w:hAnsi="Times New Roman"/>
          <w:iCs/>
          <w:sz w:val="24"/>
          <w:szCs w:val="24"/>
        </w:rPr>
        <w:t>Hematologi dan Transfusi</w:t>
      </w:r>
      <w:r w:rsidRPr="00573F76">
        <w:rPr>
          <w:rFonts w:ascii="Times New Roman" w:hAnsi="Times New Roman"/>
          <w:sz w:val="24"/>
          <w:szCs w:val="24"/>
        </w:rPr>
        <w:t>. Jakarta: Penerbit Erlangga.</w:t>
      </w:r>
      <w:r w:rsidR="00573F76" w:rsidRPr="00573F76">
        <w:rPr>
          <w:rFonts w:ascii="Times New Roman" w:hAnsi="Times New Roman"/>
          <w:sz w:val="24"/>
          <w:szCs w:val="24"/>
        </w:rPr>
        <w:t xml:space="preserve"> 2014.</w:t>
      </w:r>
    </w:p>
    <w:p w:rsidR="00CA5852" w:rsidRPr="00573F76" w:rsidRDefault="00CA5852"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Departemen Kesehatan Repu</w:t>
      </w:r>
      <w:r w:rsidR="00573F76" w:rsidRPr="00573F76">
        <w:rPr>
          <w:rFonts w:ascii="Times New Roman" w:hAnsi="Times New Roman"/>
          <w:sz w:val="24"/>
          <w:szCs w:val="24"/>
        </w:rPr>
        <w:t>blik Indonesia (Depkes RI)</w:t>
      </w:r>
      <w:r w:rsidRPr="00573F76">
        <w:rPr>
          <w:rFonts w:ascii="Times New Roman" w:hAnsi="Times New Roman"/>
          <w:sz w:val="24"/>
          <w:szCs w:val="24"/>
        </w:rPr>
        <w:t xml:space="preserve">. </w:t>
      </w:r>
      <w:r w:rsidRPr="00573F76">
        <w:rPr>
          <w:rFonts w:ascii="Times New Roman" w:hAnsi="Times New Roman"/>
          <w:iCs/>
          <w:sz w:val="24"/>
          <w:szCs w:val="24"/>
        </w:rPr>
        <w:t>Profil Kesehatan Indonesia</w:t>
      </w:r>
      <w:r w:rsidRPr="00573F76">
        <w:rPr>
          <w:rFonts w:ascii="Times New Roman" w:hAnsi="Times New Roman"/>
          <w:sz w:val="24"/>
          <w:szCs w:val="24"/>
        </w:rPr>
        <w:t>. Jakarta: Kementrian Kesehatan Republik Indonesia.</w:t>
      </w:r>
      <w:r w:rsidR="00573F76" w:rsidRPr="00573F76">
        <w:rPr>
          <w:rFonts w:ascii="Times New Roman" w:hAnsi="Times New Roman"/>
          <w:sz w:val="24"/>
          <w:szCs w:val="24"/>
        </w:rPr>
        <w:t xml:space="preserve"> 2011.</w:t>
      </w:r>
    </w:p>
    <w:p w:rsidR="00CA5852" w:rsidRPr="00573F76" w:rsidRDefault="00573F76"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Citrakesumasari.</w:t>
      </w:r>
      <w:r w:rsidR="00CA5852" w:rsidRPr="00573F76">
        <w:rPr>
          <w:rFonts w:ascii="Times New Roman" w:hAnsi="Times New Roman"/>
          <w:sz w:val="24"/>
          <w:szCs w:val="24"/>
        </w:rPr>
        <w:t xml:space="preserve"> </w:t>
      </w:r>
      <w:r w:rsidR="00CA5852" w:rsidRPr="00573F76">
        <w:rPr>
          <w:rFonts w:ascii="Times New Roman" w:hAnsi="Times New Roman"/>
          <w:iCs/>
          <w:sz w:val="24"/>
          <w:szCs w:val="24"/>
        </w:rPr>
        <w:t xml:space="preserve">Anemia Gizi, Masalah dan Pencegahannya Cetakan I. </w:t>
      </w:r>
      <w:r w:rsidR="00CA5852" w:rsidRPr="00573F76">
        <w:rPr>
          <w:rFonts w:ascii="Times New Roman" w:hAnsi="Times New Roman"/>
          <w:sz w:val="24"/>
          <w:szCs w:val="24"/>
        </w:rPr>
        <w:t>Yogyakarta: Kaliaka.</w:t>
      </w:r>
      <w:r w:rsidRPr="00573F76">
        <w:rPr>
          <w:rFonts w:ascii="Times New Roman" w:hAnsi="Times New Roman"/>
          <w:sz w:val="24"/>
          <w:szCs w:val="24"/>
        </w:rPr>
        <w:t xml:space="preserve"> 2012.</w:t>
      </w:r>
    </w:p>
    <w:p w:rsidR="00CA5852" w:rsidRPr="00573F76" w:rsidRDefault="00CA5852"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 xml:space="preserve">Fatmah. </w:t>
      </w:r>
      <w:r w:rsidRPr="00573F76">
        <w:rPr>
          <w:rFonts w:ascii="Times New Roman" w:hAnsi="Times New Roman"/>
          <w:iCs/>
          <w:sz w:val="24"/>
          <w:szCs w:val="24"/>
        </w:rPr>
        <w:t xml:space="preserve">Gizi dan Kesehatan Masyarakat. </w:t>
      </w:r>
      <w:r w:rsidRPr="00573F76">
        <w:rPr>
          <w:rFonts w:ascii="Times New Roman" w:hAnsi="Times New Roman"/>
          <w:sz w:val="24"/>
          <w:szCs w:val="24"/>
        </w:rPr>
        <w:t>Jakarta: Rajagrafindo Persada.</w:t>
      </w:r>
      <w:r w:rsidR="00573F76" w:rsidRPr="00573F76">
        <w:rPr>
          <w:rFonts w:ascii="Times New Roman" w:hAnsi="Times New Roman"/>
          <w:sz w:val="24"/>
          <w:szCs w:val="24"/>
        </w:rPr>
        <w:t xml:space="preserve"> 2007.</w:t>
      </w:r>
    </w:p>
    <w:p w:rsidR="00CA5852" w:rsidRPr="00573F76" w:rsidRDefault="00CA5852" w:rsidP="00C5236D">
      <w:pPr>
        <w:numPr>
          <w:ilvl w:val="0"/>
          <w:numId w:val="5"/>
        </w:numPr>
        <w:spacing w:after="0" w:line="360" w:lineRule="auto"/>
        <w:jc w:val="both"/>
        <w:rPr>
          <w:rFonts w:ascii="Times New Roman" w:hAnsi="Times New Roman"/>
          <w:bCs/>
          <w:sz w:val="24"/>
          <w:szCs w:val="24"/>
        </w:rPr>
      </w:pPr>
      <w:r w:rsidRPr="00573F76">
        <w:rPr>
          <w:rFonts w:ascii="Times New Roman" w:hAnsi="Times New Roman"/>
          <w:sz w:val="24"/>
          <w:szCs w:val="24"/>
        </w:rPr>
        <w:t xml:space="preserve">Mahirawati, V.K. Faktor-faktor yang Berhubungan dengan Kekurangan Energi Kronis (KEK) pada Ibu Hamil di Kecamatan Kamoning dan Tambelangan, Kabupaten Sampang Jawa Timur. </w:t>
      </w:r>
      <w:r w:rsidRPr="00573F76">
        <w:rPr>
          <w:rFonts w:ascii="Times New Roman" w:hAnsi="Times New Roman"/>
          <w:bCs/>
          <w:sz w:val="24"/>
          <w:szCs w:val="24"/>
        </w:rPr>
        <w:t>Buletin Penelitian Sistem Kesehatan</w:t>
      </w:r>
      <w:r w:rsidR="00573F76">
        <w:rPr>
          <w:rFonts w:ascii="Times New Roman" w:hAnsi="Times New Roman"/>
          <w:bCs/>
          <w:sz w:val="24"/>
          <w:szCs w:val="24"/>
        </w:rPr>
        <w:t xml:space="preserve"> 2014:</w:t>
      </w:r>
      <w:r w:rsidRPr="00573F76">
        <w:rPr>
          <w:rFonts w:ascii="Times New Roman" w:hAnsi="Times New Roman"/>
          <w:bCs/>
          <w:sz w:val="24"/>
          <w:szCs w:val="24"/>
        </w:rPr>
        <w:t xml:space="preserve"> Vol. 17 No. 2 April 2014: 193–202.</w:t>
      </w:r>
    </w:p>
    <w:p w:rsidR="00644DC4" w:rsidRPr="00573F76" w:rsidRDefault="00CA5852"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lastRenderedPageBreak/>
        <w:t xml:space="preserve">Gibney M. </w:t>
      </w:r>
      <w:r w:rsidRPr="00573F76">
        <w:rPr>
          <w:rFonts w:ascii="Times New Roman" w:hAnsi="Times New Roman"/>
          <w:iCs/>
          <w:sz w:val="24"/>
          <w:szCs w:val="24"/>
        </w:rPr>
        <w:t xml:space="preserve">Gizi Kesehatan Masyarakat. </w:t>
      </w:r>
      <w:r w:rsidRPr="00573F76">
        <w:rPr>
          <w:rFonts w:ascii="Times New Roman" w:hAnsi="Times New Roman"/>
          <w:sz w:val="24"/>
          <w:szCs w:val="24"/>
        </w:rPr>
        <w:t>Jakarta: Penerbit Buku Kedokteran EGC.</w:t>
      </w:r>
      <w:r w:rsidR="00573F76">
        <w:rPr>
          <w:rFonts w:ascii="Times New Roman" w:hAnsi="Times New Roman"/>
          <w:sz w:val="24"/>
          <w:szCs w:val="24"/>
        </w:rPr>
        <w:t xml:space="preserve"> </w:t>
      </w:r>
      <w:r w:rsidR="00573F76" w:rsidRPr="00573F76">
        <w:rPr>
          <w:rFonts w:ascii="Times New Roman" w:hAnsi="Times New Roman"/>
          <w:sz w:val="24"/>
          <w:szCs w:val="24"/>
        </w:rPr>
        <w:t>2009.</w:t>
      </w:r>
    </w:p>
    <w:p w:rsidR="00644DC4" w:rsidRPr="00573F76" w:rsidRDefault="00644DC4"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 xml:space="preserve">Gutmaningsih D. </w:t>
      </w:r>
      <w:r w:rsidRPr="00573F76">
        <w:rPr>
          <w:rFonts w:ascii="Times New Roman" w:hAnsi="Times New Roman"/>
          <w:iCs/>
          <w:sz w:val="24"/>
          <w:szCs w:val="24"/>
        </w:rPr>
        <w:t xml:space="preserve">Faktor-faktor yang Berhubungan dengan Kejadian Anemia pada Remaja Putri di SMA Negeri 1 Kecamatan Jatibarang Kabupaten Brebes Tahun 2007 [Skripsi]. </w:t>
      </w:r>
      <w:r w:rsidRPr="00573F76">
        <w:rPr>
          <w:rFonts w:ascii="Times New Roman" w:hAnsi="Times New Roman"/>
          <w:sz w:val="24"/>
          <w:szCs w:val="24"/>
        </w:rPr>
        <w:t xml:space="preserve">Semarang: Universitas Negeri Semarang. </w:t>
      </w:r>
      <w:r w:rsidR="00573F76" w:rsidRPr="00573F76">
        <w:rPr>
          <w:rFonts w:ascii="Times New Roman" w:hAnsi="Times New Roman"/>
          <w:sz w:val="24"/>
          <w:szCs w:val="24"/>
        </w:rPr>
        <w:t>2007.</w:t>
      </w:r>
    </w:p>
    <w:p w:rsidR="007F7B23" w:rsidRPr="00573F76" w:rsidRDefault="007A653F"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Kementerian</w:t>
      </w:r>
      <w:r w:rsidR="007F7B23" w:rsidRPr="00573F76">
        <w:rPr>
          <w:rFonts w:ascii="Times New Roman" w:hAnsi="Times New Roman"/>
          <w:sz w:val="24"/>
          <w:szCs w:val="24"/>
        </w:rPr>
        <w:t xml:space="preserve"> Kesehatan Republik Indonesia </w:t>
      </w:r>
      <w:r w:rsidRPr="00573F76">
        <w:rPr>
          <w:rFonts w:ascii="Times New Roman" w:hAnsi="Times New Roman"/>
          <w:sz w:val="24"/>
          <w:szCs w:val="24"/>
        </w:rPr>
        <w:t>(Kemenkes RI</w:t>
      </w:r>
      <w:r w:rsidR="007F7B23" w:rsidRPr="00573F76">
        <w:rPr>
          <w:rFonts w:ascii="Times New Roman" w:hAnsi="Times New Roman"/>
          <w:sz w:val="24"/>
          <w:szCs w:val="24"/>
        </w:rPr>
        <w:t>). Profil Kesehatan Indonesia. Jakarta: Kementrian Kesehatan Republik Indonesia.</w:t>
      </w:r>
      <w:r w:rsidR="00573F76">
        <w:rPr>
          <w:rFonts w:ascii="Times New Roman" w:hAnsi="Times New Roman"/>
          <w:sz w:val="24"/>
          <w:szCs w:val="24"/>
        </w:rPr>
        <w:t xml:space="preserve"> </w:t>
      </w:r>
      <w:r w:rsidR="00573F76" w:rsidRPr="00573F76">
        <w:rPr>
          <w:rFonts w:ascii="Times New Roman" w:hAnsi="Times New Roman"/>
          <w:sz w:val="24"/>
          <w:szCs w:val="24"/>
        </w:rPr>
        <w:t>2011.</w:t>
      </w:r>
    </w:p>
    <w:p w:rsidR="00644DC4" w:rsidRPr="00573F76" w:rsidRDefault="00644DC4"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 xml:space="preserve">Kementrian Kesehatan Republik Indonesia (Kemenkes RI). </w:t>
      </w:r>
      <w:r w:rsidRPr="00573F76">
        <w:rPr>
          <w:rFonts w:ascii="Times New Roman" w:hAnsi="Times New Roman"/>
          <w:iCs/>
          <w:sz w:val="24"/>
          <w:szCs w:val="24"/>
        </w:rPr>
        <w:t>Riset Kesehatan Dasar</w:t>
      </w:r>
      <w:r w:rsidRPr="00573F76">
        <w:rPr>
          <w:rFonts w:ascii="Times New Roman" w:hAnsi="Times New Roman"/>
          <w:sz w:val="24"/>
          <w:szCs w:val="24"/>
        </w:rPr>
        <w:t>. Jakarta: Badan Penelitian dan Pengembangan Kesehatan Kementrian Kesehatan RI.</w:t>
      </w:r>
      <w:r w:rsidR="00573F76">
        <w:rPr>
          <w:rFonts w:ascii="Times New Roman" w:hAnsi="Times New Roman"/>
          <w:sz w:val="24"/>
          <w:szCs w:val="24"/>
        </w:rPr>
        <w:t xml:space="preserve"> </w:t>
      </w:r>
      <w:r w:rsidR="00573F76" w:rsidRPr="00573F76">
        <w:rPr>
          <w:rFonts w:ascii="Times New Roman" w:hAnsi="Times New Roman"/>
          <w:sz w:val="24"/>
          <w:szCs w:val="24"/>
        </w:rPr>
        <w:t>2013.</w:t>
      </w:r>
    </w:p>
    <w:p w:rsidR="00644DC4" w:rsidRPr="00573F76" w:rsidRDefault="00644DC4"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 xml:space="preserve">Thompson B. </w:t>
      </w:r>
      <w:r w:rsidRPr="00573F76">
        <w:rPr>
          <w:rFonts w:ascii="Times New Roman" w:hAnsi="Times New Roman"/>
          <w:iCs/>
          <w:sz w:val="24"/>
          <w:szCs w:val="24"/>
        </w:rPr>
        <w:t>Food-Based Approaches for Combating Iron Deficiency</w:t>
      </w:r>
      <w:r w:rsidRPr="00573F76">
        <w:rPr>
          <w:rFonts w:ascii="Times New Roman" w:hAnsi="Times New Roman"/>
          <w:sz w:val="24"/>
          <w:szCs w:val="24"/>
        </w:rPr>
        <w:t xml:space="preserve">. </w:t>
      </w:r>
      <w:r w:rsidRPr="00573F76">
        <w:rPr>
          <w:rFonts w:ascii="Times New Roman" w:hAnsi="Times New Roman"/>
          <w:iCs/>
          <w:sz w:val="24"/>
          <w:szCs w:val="24"/>
        </w:rPr>
        <w:t>Food and Agriculture Organization (FAO)</w:t>
      </w:r>
      <w:r w:rsidRPr="00573F76">
        <w:rPr>
          <w:rFonts w:ascii="Times New Roman" w:hAnsi="Times New Roman"/>
          <w:sz w:val="24"/>
          <w:szCs w:val="24"/>
        </w:rPr>
        <w:t>. 2007;22.</w:t>
      </w:r>
    </w:p>
    <w:p w:rsidR="00644DC4" w:rsidRPr="00573F76" w:rsidRDefault="00644DC4"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Almatsier S. Prinsip Dasar Ilmu Gizi. Jakarta: Gramedia Pustaka Utama.</w:t>
      </w:r>
      <w:r w:rsidR="00573F76">
        <w:rPr>
          <w:rFonts w:ascii="Times New Roman" w:hAnsi="Times New Roman"/>
          <w:sz w:val="24"/>
          <w:szCs w:val="24"/>
        </w:rPr>
        <w:t xml:space="preserve"> </w:t>
      </w:r>
      <w:r w:rsidR="00573F76" w:rsidRPr="00573F76">
        <w:rPr>
          <w:rFonts w:ascii="Times New Roman" w:hAnsi="Times New Roman"/>
          <w:sz w:val="24"/>
          <w:szCs w:val="24"/>
        </w:rPr>
        <w:t>2009.</w:t>
      </w:r>
    </w:p>
    <w:p w:rsidR="00644DC4" w:rsidRPr="00573F76" w:rsidRDefault="00644DC4"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 xml:space="preserve">Anari AG, Nazemian N, Vahedian-Ardakani H-A. Association of Body Mass Index with Hemoglobin Concentration and Iron Parameters in Iranian Population. </w:t>
      </w:r>
      <w:r w:rsidRPr="00573F76">
        <w:rPr>
          <w:rFonts w:ascii="Times New Roman" w:hAnsi="Times New Roman"/>
          <w:iCs/>
          <w:sz w:val="24"/>
          <w:szCs w:val="24"/>
        </w:rPr>
        <w:t>Hindawi Publishing Corporation</w:t>
      </w:r>
      <w:r w:rsidRPr="00573F76">
        <w:rPr>
          <w:rFonts w:ascii="Times New Roman" w:hAnsi="Times New Roman"/>
          <w:sz w:val="24"/>
          <w:szCs w:val="24"/>
        </w:rPr>
        <w:t>. 2014;3.</w:t>
      </w:r>
    </w:p>
    <w:p w:rsidR="00644DC4" w:rsidRPr="00573F76" w:rsidRDefault="00644DC4"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 xml:space="preserve">Mendonca EBS, Muniz LF, Arruda IKGd, Diniz A. Hemoglobin Concentrations and Associated Factors in Adolescentes from Recife, Brazil. </w:t>
      </w:r>
      <w:r w:rsidRPr="00573F76">
        <w:rPr>
          <w:rFonts w:ascii="Times New Roman" w:hAnsi="Times New Roman"/>
          <w:iCs/>
          <w:sz w:val="24"/>
          <w:szCs w:val="24"/>
        </w:rPr>
        <w:t>Nutrition Journal</w:t>
      </w:r>
      <w:r w:rsidRPr="00573F76">
        <w:rPr>
          <w:rFonts w:ascii="Times New Roman" w:hAnsi="Times New Roman"/>
          <w:sz w:val="24"/>
          <w:szCs w:val="24"/>
        </w:rPr>
        <w:t>. 2014;27.</w:t>
      </w:r>
    </w:p>
    <w:p w:rsidR="009E0173" w:rsidRPr="00573F76" w:rsidRDefault="009E0173" w:rsidP="009E0173">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Arisman MB. Buku Ajar Ilmu Gizi dalam Daur Kehidupan Edisi 2. Jakarta: Penerbit Buku Kedokteran EGC.</w:t>
      </w:r>
      <w:r w:rsidR="00573F76">
        <w:rPr>
          <w:rFonts w:ascii="Times New Roman" w:hAnsi="Times New Roman"/>
          <w:sz w:val="24"/>
          <w:szCs w:val="24"/>
        </w:rPr>
        <w:t xml:space="preserve"> </w:t>
      </w:r>
      <w:r w:rsidR="00573F76" w:rsidRPr="00573F76">
        <w:rPr>
          <w:rFonts w:ascii="Times New Roman" w:hAnsi="Times New Roman"/>
          <w:sz w:val="24"/>
          <w:szCs w:val="24"/>
        </w:rPr>
        <w:t>2014.</w:t>
      </w:r>
    </w:p>
    <w:p w:rsidR="00CA5852" w:rsidRPr="00573F76" w:rsidRDefault="00644DC4" w:rsidP="00C5236D">
      <w:pPr>
        <w:numPr>
          <w:ilvl w:val="0"/>
          <w:numId w:val="5"/>
        </w:numPr>
        <w:spacing w:after="0" w:line="360" w:lineRule="auto"/>
        <w:jc w:val="both"/>
        <w:rPr>
          <w:rFonts w:ascii="Times New Roman" w:hAnsi="Times New Roman"/>
          <w:sz w:val="24"/>
          <w:szCs w:val="24"/>
        </w:rPr>
      </w:pPr>
      <w:r w:rsidRPr="00573F76">
        <w:rPr>
          <w:rFonts w:ascii="Times New Roman" w:hAnsi="Times New Roman"/>
          <w:sz w:val="24"/>
          <w:szCs w:val="24"/>
        </w:rPr>
        <w:t xml:space="preserve">Supariasa IDN, Bakri B, Fajar I. </w:t>
      </w:r>
      <w:r w:rsidRPr="00573F76">
        <w:rPr>
          <w:rFonts w:ascii="Times New Roman" w:hAnsi="Times New Roman"/>
          <w:iCs/>
          <w:sz w:val="24"/>
          <w:szCs w:val="24"/>
        </w:rPr>
        <w:t>Penilaian Status Gizi</w:t>
      </w:r>
      <w:r w:rsidRPr="00573F76">
        <w:rPr>
          <w:rFonts w:ascii="Times New Roman" w:hAnsi="Times New Roman"/>
          <w:sz w:val="24"/>
          <w:szCs w:val="24"/>
        </w:rPr>
        <w:t>. Jakarta: Penerbit Buku Kedokteran EGC.</w:t>
      </w:r>
      <w:r w:rsidR="00573F76">
        <w:rPr>
          <w:rFonts w:ascii="Times New Roman" w:hAnsi="Times New Roman"/>
          <w:sz w:val="24"/>
          <w:szCs w:val="24"/>
        </w:rPr>
        <w:t xml:space="preserve"> </w:t>
      </w:r>
      <w:r w:rsidR="00573F76" w:rsidRPr="00573F76">
        <w:rPr>
          <w:rFonts w:ascii="Times New Roman" w:hAnsi="Times New Roman"/>
          <w:sz w:val="24"/>
          <w:szCs w:val="24"/>
        </w:rPr>
        <w:t>2012.</w:t>
      </w:r>
    </w:p>
    <w:p w:rsidR="00B46CB1" w:rsidRPr="00573F76" w:rsidRDefault="00B46CB1" w:rsidP="00C5236D">
      <w:pPr>
        <w:spacing w:after="0" w:line="360" w:lineRule="auto"/>
        <w:jc w:val="both"/>
        <w:rPr>
          <w:rFonts w:ascii="Times New Roman" w:hAnsi="Times New Roman"/>
          <w:sz w:val="24"/>
          <w:szCs w:val="24"/>
        </w:rPr>
      </w:pPr>
    </w:p>
    <w:sectPr w:rsidR="00B46CB1" w:rsidRPr="00573F76" w:rsidSect="00400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140"/>
    <w:multiLevelType w:val="hybridMultilevel"/>
    <w:tmpl w:val="DF22B6E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55073518"/>
    <w:multiLevelType w:val="hybridMultilevel"/>
    <w:tmpl w:val="D382A1F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588073C5"/>
    <w:multiLevelType w:val="hybridMultilevel"/>
    <w:tmpl w:val="5508936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5A983098"/>
    <w:multiLevelType w:val="hybridMultilevel"/>
    <w:tmpl w:val="467C84EC"/>
    <w:lvl w:ilvl="0" w:tplc="367C9EE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76270863"/>
    <w:multiLevelType w:val="hybridMultilevel"/>
    <w:tmpl w:val="4B3CC25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30"/>
    <w:rsid w:val="00010236"/>
    <w:rsid w:val="00010BFD"/>
    <w:rsid w:val="000168B8"/>
    <w:rsid w:val="00031878"/>
    <w:rsid w:val="00032613"/>
    <w:rsid w:val="000406E0"/>
    <w:rsid w:val="000611EB"/>
    <w:rsid w:val="00084070"/>
    <w:rsid w:val="0009148F"/>
    <w:rsid w:val="00097F4F"/>
    <w:rsid w:val="000D5635"/>
    <w:rsid w:val="000E3EA3"/>
    <w:rsid w:val="000F4135"/>
    <w:rsid w:val="00116C51"/>
    <w:rsid w:val="00127A9D"/>
    <w:rsid w:val="00130B6E"/>
    <w:rsid w:val="001353C5"/>
    <w:rsid w:val="00147782"/>
    <w:rsid w:val="00187F56"/>
    <w:rsid w:val="00194CD2"/>
    <w:rsid w:val="001950A9"/>
    <w:rsid w:val="00196094"/>
    <w:rsid w:val="001A0AB9"/>
    <w:rsid w:val="001B29B3"/>
    <w:rsid w:val="001B7360"/>
    <w:rsid w:val="001F6810"/>
    <w:rsid w:val="001F7FC5"/>
    <w:rsid w:val="00200729"/>
    <w:rsid w:val="00202F1B"/>
    <w:rsid w:val="002157BE"/>
    <w:rsid w:val="0022764E"/>
    <w:rsid w:val="0026395D"/>
    <w:rsid w:val="00292C24"/>
    <w:rsid w:val="002F26DF"/>
    <w:rsid w:val="00326874"/>
    <w:rsid w:val="0034613C"/>
    <w:rsid w:val="00352BED"/>
    <w:rsid w:val="003531F0"/>
    <w:rsid w:val="00363E4C"/>
    <w:rsid w:val="003846DA"/>
    <w:rsid w:val="00391DCF"/>
    <w:rsid w:val="00395352"/>
    <w:rsid w:val="00395AAA"/>
    <w:rsid w:val="003A686F"/>
    <w:rsid w:val="003B0065"/>
    <w:rsid w:val="003B157C"/>
    <w:rsid w:val="003B4B3E"/>
    <w:rsid w:val="003B6AF2"/>
    <w:rsid w:val="003E3C80"/>
    <w:rsid w:val="003E5301"/>
    <w:rsid w:val="003E5EDE"/>
    <w:rsid w:val="003E6204"/>
    <w:rsid w:val="00400FF9"/>
    <w:rsid w:val="004040FF"/>
    <w:rsid w:val="00443787"/>
    <w:rsid w:val="004462B5"/>
    <w:rsid w:val="0046145D"/>
    <w:rsid w:val="00487C85"/>
    <w:rsid w:val="004A38A6"/>
    <w:rsid w:val="004C351E"/>
    <w:rsid w:val="004C6C83"/>
    <w:rsid w:val="004F3210"/>
    <w:rsid w:val="00510EF8"/>
    <w:rsid w:val="005121F8"/>
    <w:rsid w:val="00521114"/>
    <w:rsid w:val="005279DB"/>
    <w:rsid w:val="005352BB"/>
    <w:rsid w:val="00573F76"/>
    <w:rsid w:val="00587161"/>
    <w:rsid w:val="005A2A39"/>
    <w:rsid w:val="005A57EC"/>
    <w:rsid w:val="005E32F5"/>
    <w:rsid w:val="005F6090"/>
    <w:rsid w:val="00641D65"/>
    <w:rsid w:val="00644DC4"/>
    <w:rsid w:val="00651223"/>
    <w:rsid w:val="00651BC6"/>
    <w:rsid w:val="00660568"/>
    <w:rsid w:val="00670E9E"/>
    <w:rsid w:val="006B0418"/>
    <w:rsid w:val="006B1AC2"/>
    <w:rsid w:val="006B726A"/>
    <w:rsid w:val="00703BA7"/>
    <w:rsid w:val="00756616"/>
    <w:rsid w:val="00790812"/>
    <w:rsid w:val="007A653F"/>
    <w:rsid w:val="007C2EBB"/>
    <w:rsid w:val="007C3E5A"/>
    <w:rsid w:val="007F7B23"/>
    <w:rsid w:val="008049DE"/>
    <w:rsid w:val="0082722A"/>
    <w:rsid w:val="0083572F"/>
    <w:rsid w:val="00846B4B"/>
    <w:rsid w:val="00846B9C"/>
    <w:rsid w:val="00876588"/>
    <w:rsid w:val="00886F4E"/>
    <w:rsid w:val="008955CA"/>
    <w:rsid w:val="008A4892"/>
    <w:rsid w:val="008C594C"/>
    <w:rsid w:val="008D159D"/>
    <w:rsid w:val="0090075B"/>
    <w:rsid w:val="0090543F"/>
    <w:rsid w:val="009234D8"/>
    <w:rsid w:val="009A269C"/>
    <w:rsid w:val="009C111F"/>
    <w:rsid w:val="009D21B5"/>
    <w:rsid w:val="009D3604"/>
    <w:rsid w:val="009E0173"/>
    <w:rsid w:val="009E2808"/>
    <w:rsid w:val="009F02AF"/>
    <w:rsid w:val="00A01A4A"/>
    <w:rsid w:val="00A156AB"/>
    <w:rsid w:val="00A16EFE"/>
    <w:rsid w:val="00A1748F"/>
    <w:rsid w:val="00A34B6F"/>
    <w:rsid w:val="00A524AC"/>
    <w:rsid w:val="00A63A01"/>
    <w:rsid w:val="00A63FD5"/>
    <w:rsid w:val="00A81231"/>
    <w:rsid w:val="00AA0028"/>
    <w:rsid w:val="00AA3C84"/>
    <w:rsid w:val="00AC0E7F"/>
    <w:rsid w:val="00AD53A2"/>
    <w:rsid w:val="00AE27B9"/>
    <w:rsid w:val="00AE4AC7"/>
    <w:rsid w:val="00AE59B4"/>
    <w:rsid w:val="00AF2888"/>
    <w:rsid w:val="00B46CB1"/>
    <w:rsid w:val="00B631DF"/>
    <w:rsid w:val="00B65F83"/>
    <w:rsid w:val="00B72C02"/>
    <w:rsid w:val="00B75A21"/>
    <w:rsid w:val="00B8289C"/>
    <w:rsid w:val="00B9498D"/>
    <w:rsid w:val="00B9545B"/>
    <w:rsid w:val="00BD7002"/>
    <w:rsid w:val="00BD79EF"/>
    <w:rsid w:val="00BE4A8F"/>
    <w:rsid w:val="00BF5AA7"/>
    <w:rsid w:val="00BF6C30"/>
    <w:rsid w:val="00C1192D"/>
    <w:rsid w:val="00C126E1"/>
    <w:rsid w:val="00C318E7"/>
    <w:rsid w:val="00C33466"/>
    <w:rsid w:val="00C475B0"/>
    <w:rsid w:val="00C5236D"/>
    <w:rsid w:val="00C56C47"/>
    <w:rsid w:val="00C70136"/>
    <w:rsid w:val="00C71440"/>
    <w:rsid w:val="00C73E3B"/>
    <w:rsid w:val="00C75BC2"/>
    <w:rsid w:val="00C81408"/>
    <w:rsid w:val="00CA448D"/>
    <w:rsid w:val="00CA5852"/>
    <w:rsid w:val="00CB2745"/>
    <w:rsid w:val="00CB54DA"/>
    <w:rsid w:val="00CC4EE4"/>
    <w:rsid w:val="00CD6450"/>
    <w:rsid w:val="00CE6FA0"/>
    <w:rsid w:val="00D02F7D"/>
    <w:rsid w:val="00D1661E"/>
    <w:rsid w:val="00D2724E"/>
    <w:rsid w:val="00D63417"/>
    <w:rsid w:val="00D63D36"/>
    <w:rsid w:val="00D74C35"/>
    <w:rsid w:val="00D91D62"/>
    <w:rsid w:val="00DD560C"/>
    <w:rsid w:val="00DD57D3"/>
    <w:rsid w:val="00DF5E8E"/>
    <w:rsid w:val="00DF6F5F"/>
    <w:rsid w:val="00E00AB3"/>
    <w:rsid w:val="00E22049"/>
    <w:rsid w:val="00E451D3"/>
    <w:rsid w:val="00E51BE7"/>
    <w:rsid w:val="00E565C3"/>
    <w:rsid w:val="00E60D4E"/>
    <w:rsid w:val="00E75BCE"/>
    <w:rsid w:val="00E91B78"/>
    <w:rsid w:val="00EA2549"/>
    <w:rsid w:val="00EB4274"/>
    <w:rsid w:val="00EC2978"/>
    <w:rsid w:val="00F015F9"/>
    <w:rsid w:val="00F02A21"/>
    <w:rsid w:val="00F201F4"/>
    <w:rsid w:val="00F31BDE"/>
    <w:rsid w:val="00F3320B"/>
    <w:rsid w:val="00F55BB8"/>
    <w:rsid w:val="00F571E8"/>
    <w:rsid w:val="00F644A0"/>
    <w:rsid w:val="00F75BA4"/>
    <w:rsid w:val="00F86A01"/>
    <w:rsid w:val="00FB4732"/>
    <w:rsid w:val="00FE19E6"/>
    <w:rsid w:val="00FF29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F20CD"/>
  <w14:defaultImageDpi w14:val="0"/>
  <w15:docId w15:val="{C5A30661-A5C2-432B-8A00-17F1C7F5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3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32F5"/>
    <w:pPr>
      <w:spacing w:after="200" w:line="276" w:lineRule="auto"/>
      <w:ind w:left="720"/>
      <w:contextualSpacing/>
    </w:pPr>
  </w:style>
  <w:style w:type="character" w:customStyle="1" w:styleId="ListParagraphChar">
    <w:name w:val="List Paragraph Char"/>
    <w:link w:val="ListParagraph"/>
    <w:uiPriority w:val="34"/>
    <w:locked/>
    <w:rsid w:val="00443787"/>
  </w:style>
  <w:style w:type="table" w:styleId="TableGrid">
    <w:name w:val="Table Grid"/>
    <w:basedOn w:val="TableNormal"/>
    <w:uiPriority w:val="39"/>
    <w:rsid w:val="00703BA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BE7"/>
    <w:rPr>
      <w:rFonts w:cs="Times New Roman"/>
      <w:color w:val="0563C1" w:themeColor="hyperlink"/>
      <w:u w:val="single"/>
    </w:rPr>
  </w:style>
  <w:style w:type="paragraph" w:customStyle="1" w:styleId="Default">
    <w:name w:val="Default"/>
    <w:rsid w:val="00E51B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571E8"/>
    <w:rPr>
      <w:rFonts w:cs="Times New Roman"/>
      <w:sz w:val="16"/>
      <w:szCs w:val="16"/>
    </w:rPr>
  </w:style>
  <w:style w:type="paragraph" w:styleId="CommentText">
    <w:name w:val="annotation text"/>
    <w:basedOn w:val="Normal"/>
    <w:link w:val="CommentTextChar"/>
    <w:uiPriority w:val="99"/>
    <w:semiHidden/>
    <w:unhideWhenUsed/>
    <w:rsid w:val="00F571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71E8"/>
    <w:rPr>
      <w:rFonts w:cs="Times New Roman"/>
      <w:sz w:val="20"/>
      <w:szCs w:val="20"/>
    </w:rPr>
  </w:style>
  <w:style w:type="paragraph" w:styleId="CommentSubject">
    <w:name w:val="annotation subject"/>
    <w:basedOn w:val="CommentText"/>
    <w:next w:val="CommentText"/>
    <w:link w:val="CommentSubjectChar"/>
    <w:uiPriority w:val="99"/>
    <w:semiHidden/>
    <w:unhideWhenUsed/>
    <w:rsid w:val="00F571E8"/>
    <w:rPr>
      <w:b/>
      <w:bCs/>
    </w:rPr>
  </w:style>
  <w:style w:type="character" w:customStyle="1" w:styleId="CommentSubjectChar">
    <w:name w:val="Comment Subject Char"/>
    <w:basedOn w:val="CommentTextChar"/>
    <w:link w:val="CommentSubject"/>
    <w:uiPriority w:val="99"/>
    <w:semiHidden/>
    <w:locked/>
    <w:rsid w:val="00F571E8"/>
    <w:rPr>
      <w:rFonts w:cs="Times New Roman"/>
      <w:b/>
      <w:bCs/>
      <w:sz w:val="20"/>
      <w:szCs w:val="20"/>
    </w:rPr>
  </w:style>
  <w:style w:type="paragraph" w:styleId="BalloonText">
    <w:name w:val="Balloon Text"/>
    <w:basedOn w:val="Normal"/>
    <w:link w:val="BalloonTextChar"/>
    <w:uiPriority w:val="99"/>
    <w:semiHidden/>
    <w:unhideWhenUsed/>
    <w:rsid w:val="00F5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1E8"/>
    <w:rPr>
      <w:rFonts w:ascii="Tahoma" w:hAnsi="Tahoma" w:cs="Tahoma"/>
      <w:sz w:val="16"/>
      <w:szCs w:val="16"/>
    </w:rPr>
  </w:style>
  <w:style w:type="paragraph" w:customStyle="1" w:styleId="Body">
    <w:name w:val="Body"/>
    <w:basedOn w:val="Normal"/>
    <w:rsid w:val="00A63A01"/>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vegavanza</dc:creator>
  <cp:keywords/>
  <dc:description/>
  <cp:lastModifiedBy>vegavanza</cp:lastModifiedBy>
  <cp:revision>4</cp:revision>
  <dcterms:created xsi:type="dcterms:W3CDTF">2017-08-20T22:14:00Z</dcterms:created>
  <dcterms:modified xsi:type="dcterms:W3CDTF">2017-09-17T02:18:00Z</dcterms:modified>
</cp:coreProperties>
</file>