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F0" w:rsidRPr="005455CC" w:rsidRDefault="005455CC" w:rsidP="001F0BB0">
      <w:pPr>
        <w:spacing w:after="0" w:line="240" w:lineRule="auto"/>
        <w:rPr>
          <w:rFonts w:cstheme="minorHAnsi"/>
          <w:b/>
          <w:sz w:val="28"/>
          <w:szCs w:val="28"/>
        </w:rPr>
      </w:pPr>
      <w:r w:rsidRPr="005455CC">
        <w:rPr>
          <w:rFonts w:cstheme="minorHAnsi"/>
          <w:b/>
          <w:sz w:val="28"/>
          <w:szCs w:val="28"/>
        </w:rPr>
        <w:t xml:space="preserve">Uji Kepekaan </w:t>
      </w:r>
      <w:r w:rsidRPr="005455CC">
        <w:rPr>
          <w:rFonts w:cstheme="minorHAnsi"/>
          <w:b/>
          <w:sz w:val="28"/>
          <w:szCs w:val="28"/>
          <w:lang w:val="en-US"/>
        </w:rPr>
        <w:t>t</w:t>
      </w:r>
      <w:r w:rsidRPr="005455CC">
        <w:rPr>
          <w:rFonts w:cstheme="minorHAnsi"/>
          <w:b/>
          <w:sz w:val="28"/>
          <w:szCs w:val="28"/>
        </w:rPr>
        <w:t>erhadap Antibiotik</w:t>
      </w:r>
    </w:p>
    <w:p w:rsidR="005455CC" w:rsidRDefault="005455CC" w:rsidP="005455CC">
      <w:pPr>
        <w:spacing w:after="0" w:line="240" w:lineRule="auto"/>
        <w:jc w:val="center"/>
        <w:rPr>
          <w:rFonts w:cstheme="minorHAnsi"/>
          <w:b/>
          <w:sz w:val="24"/>
          <w:szCs w:val="24"/>
          <w:lang w:val="en-US"/>
        </w:rPr>
      </w:pPr>
    </w:p>
    <w:p w:rsidR="001F0BD9" w:rsidRDefault="001F0BD9" w:rsidP="005455CC">
      <w:pPr>
        <w:spacing w:after="0" w:line="240" w:lineRule="auto"/>
        <w:jc w:val="center"/>
        <w:rPr>
          <w:rFonts w:cstheme="minorHAnsi"/>
          <w:b/>
          <w:sz w:val="24"/>
          <w:szCs w:val="24"/>
        </w:rPr>
      </w:pPr>
      <w:r w:rsidRPr="008C534A">
        <w:rPr>
          <w:rFonts w:cstheme="minorHAnsi"/>
          <w:b/>
          <w:sz w:val="24"/>
          <w:szCs w:val="24"/>
        </w:rPr>
        <w:t>Tri Umiana Soleha</w:t>
      </w:r>
    </w:p>
    <w:p w:rsidR="00400256" w:rsidRPr="00400256" w:rsidRDefault="005455CC" w:rsidP="005455CC">
      <w:pPr>
        <w:spacing w:after="0" w:line="240" w:lineRule="auto"/>
        <w:jc w:val="center"/>
        <w:rPr>
          <w:rFonts w:cstheme="minorHAnsi"/>
          <w:sz w:val="24"/>
          <w:szCs w:val="24"/>
        </w:rPr>
      </w:pPr>
      <w:r>
        <w:rPr>
          <w:rFonts w:cstheme="minorHAnsi"/>
          <w:sz w:val="24"/>
          <w:szCs w:val="24"/>
        </w:rPr>
        <w:t>Bagian Mikrobiologi,</w:t>
      </w:r>
      <w:r>
        <w:rPr>
          <w:rFonts w:cstheme="minorHAnsi"/>
          <w:sz w:val="24"/>
          <w:szCs w:val="24"/>
          <w:lang w:val="en-US"/>
        </w:rPr>
        <w:t xml:space="preserve"> </w:t>
      </w:r>
      <w:r>
        <w:rPr>
          <w:rFonts w:cstheme="minorHAnsi"/>
          <w:sz w:val="24"/>
          <w:szCs w:val="24"/>
        </w:rPr>
        <w:t>Fakultas Kedokteran,</w:t>
      </w:r>
      <w:r>
        <w:rPr>
          <w:rFonts w:cstheme="minorHAnsi"/>
          <w:sz w:val="24"/>
          <w:szCs w:val="24"/>
          <w:lang w:val="en-US"/>
        </w:rPr>
        <w:t xml:space="preserve"> </w:t>
      </w:r>
      <w:r w:rsidR="00400256" w:rsidRPr="00400256">
        <w:rPr>
          <w:rFonts w:cstheme="minorHAnsi"/>
          <w:sz w:val="24"/>
          <w:szCs w:val="24"/>
        </w:rPr>
        <w:t>Universitas Lampung</w:t>
      </w:r>
    </w:p>
    <w:p w:rsidR="00400256" w:rsidRPr="008C534A" w:rsidRDefault="00400256" w:rsidP="005455CC">
      <w:pPr>
        <w:spacing w:after="0" w:line="240" w:lineRule="auto"/>
        <w:jc w:val="center"/>
        <w:rPr>
          <w:rFonts w:cstheme="minorHAnsi"/>
          <w:b/>
          <w:sz w:val="24"/>
          <w:szCs w:val="24"/>
        </w:rPr>
      </w:pPr>
    </w:p>
    <w:p w:rsidR="001B6579" w:rsidRPr="005455CC" w:rsidRDefault="005455CC" w:rsidP="005455CC">
      <w:pPr>
        <w:spacing w:after="0" w:line="240" w:lineRule="auto"/>
        <w:jc w:val="center"/>
        <w:rPr>
          <w:rFonts w:cstheme="minorHAnsi"/>
          <w:b/>
          <w:sz w:val="18"/>
          <w:szCs w:val="18"/>
        </w:rPr>
      </w:pPr>
      <w:r w:rsidRPr="005455CC">
        <w:rPr>
          <w:rFonts w:cstheme="minorHAnsi"/>
          <w:b/>
          <w:sz w:val="18"/>
          <w:szCs w:val="18"/>
        </w:rPr>
        <w:t>Abstr</w:t>
      </w:r>
      <w:r w:rsidRPr="005455CC">
        <w:rPr>
          <w:rFonts w:cstheme="minorHAnsi"/>
          <w:b/>
          <w:sz w:val="18"/>
          <w:szCs w:val="18"/>
          <w:lang w:val="en-US"/>
        </w:rPr>
        <w:t>a</w:t>
      </w:r>
      <w:r w:rsidR="001B6579" w:rsidRPr="005455CC">
        <w:rPr>
          <w:rFonts w:cstheme="minorHAnsi"/>
          <w:b/>
          <w:sz w:val="18"/>
          <w:szCs w:val="18"/>
        </w:rPr>
        <w:t>k</w:t>
      </w:r>
    </w:p>
    <w:p w:rsidR="001B6579" w:rsidRPr="005455CC" w:rsidRDefault="001B6579"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8"/>
          <w:szCs w:val="18"/>
          <w:lang w:eastAsia="id-ID"/>
        </w:rPr>
      </w:pPr>
      <w:r w:rsidRPr="005455CC">
        <w:rPr>
          <w:rFonts w:eastAsia="Times New Roman" w:cstheme="minorHAnsi"/>
          <w:color w:val="212121"/>
          <w:sz w:val="18"/>
          <w:szCs w:val="18"/>
          <w:lang w:eastAsia="id-ID"/>
        </w:rPr>
        <w:t xml:space="preserve">Uji kepekaan antimikroba dimulai ketika WHO memprakarsai pertemuan di Jenewa pada tahun 1977, perhatian yang lebih luas mengenai resistensi antimikroba yang berhubungan dengan infeksi pada manusia atau hewan. Hal ini memicu program pengawasan untuk memantau resistensi antimikroba </w:t>
      </w:r>
      <w:r w:rsidR="005455CC" w:rsidRPr="005455CC">
        <w:rPr>
          <w:rFonts w:eastAsia="Times New Roman" w:cstheme="minorHAnsi"/>
          <w:color w:val="212121"/>
          <w:sz w:val="18"/>
          <w:szCs w:val="18"/>
          <w:lang w:eastAsia="id-ID"/>
        </w:rPr>
        <w:t>menggunakan metode yang tepat</w:t>
      </w:r>
      <w:r w:rsidR="005455CC" w:rsidRPr="005455CC">
        <w:rPr>
          <w:rFonts w:eastAsia="Times New Roman" w:cstheme="minorHAnsi"/>
          <w:color w:val="212121"/>
          <w:sz w:val="18"/>
          <w:szCs w:val="18"/>
          <w:lang w:val="en-US" w:eastAsia="id-ID"/>
        </w:rPr>
        <w:t xml:space="preserve">. </w:t>
      </w:r>
      <w:r w:rsidRPr="005455CC">
        <w:rPr>
          <w:rFonts w:eastAsia="Times New Roman" w:cstheme="minorHAnsi"/>
          <w:color w:val="212121"/>
          <w:sz w:val="18"/>
          <w:szCs w:val="18"/>
          <w:lang w:eastAsia="id-ID"/>
        </w:rPr>
        <w:t xml:space="preserve">Sensitivitas tes antimikroba akan membantu dokter untuk menentukan antimikroba yang tepat dalam </w:t>
      </w:r>
      <w:r w:rsidR="00FF02AB">
        <w:rPr>
          <w:rFonts w:eastAsia="Times New Roman" w:cstheme="minorHAnsi"/>
          <w:color w:val="212121"/>
          <w:sz w:val="18"/>
          <w:szCs w:val="18"/>
          <w:lang w:eastAsia="id-ID"/>
        </w:rPr>
        <w:t>mengobati infeksi</w:t>
      </w:r>
      <w:r w:rsidRPr="005455CC">
        <w:rPr>
          <w:rFonts w:eastAsia="Times New Roman" w:cstheme="minorHAnsi"/>
          <w:color w:val="212121"/>
          <w:sz w:val="18"/>
          <w:szCs w:val="18"/>
          <w:lang w:eastAsia="id-ID"/>
        </w:rPr>
        <w:t xml:space="preserve">. Untuk mendapatkan hasil yang </w:t>
      </w:r>
      <w:r w:rsidR="005455CC" w:rsidRPr="005455CC">
        <w:rPr>
          <w:rFonts w:eastAsia="Times New Roman" w:cstheme="minorHAnsi"/>
          <w:color w:val="212121"/>
          <w:sz w:val="18"/>
          <w:szCs w:val="18"/>
          <w:lang w:eastAsia="id-ID"/>
        </w:rPr>
        <w:t>akura</w:t>
      </w:r>
      <w:r w:rsidR="005455CC" w:rsidRPr="005455CC">
        <w:rPr>
          <w:rFonts w:eastAsia="Times New Roman" w:cstheme="minorHAnsi"/>
          <w:color w:val="212121"/>
          <w:sz w:val="18"/>
          <w:szCs w:val="18"/>
          <w:lang w:val="en-US" w:eastAsia="id-ID"/>
        </w:rPr>
        <w:t>t</w:t>
      </w:r>
      <w:r w:rsidRPr="005455CC">
        <w:rPr>
          <w:rFonts w:eastAsia="Times New Roman" w:cstheme="minorHAnsi"/>
          <w:color w:val="212121"/>
          <w:sz w:val="18"/>
          <w:szCs w:val="18"/>
          <w:lang w:eastAsia="id-ID"/>
        </w:rPr>
        <w:t>, tes sensitivitas harus dilakukan dengan metode yang akurat dan tepat, yang merupakan metode langsung dapat digunakan untuk mendukung upaya pengobatan. Kriteria penting dalam metode uji sensitivitas adalah untuk melakukan dengan respon pasien terhadap terapi antimikroba.</w:t>
      </w:r>
    </w:p>
    <w:p w:rsidR="001B6579" w:rsidRPr="005455CC" w:rsidRDefault="001B6579"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8"/>
          <w:szCs w:val="18"/>
          <w:lang w:eastAsia="id-ID"/>
        </w:rPr>
      </w:pPr>
    </w:p>
    <w:p w:rsidR="001B6579" w:rsidRPr="005455CC" w:rsidRDefault="005455CC"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18"/>
          <w:szCs w:val="18"/>
          <w:lang w:eastAsia="id-ID"/>
        </w:rPr>
      </w:pPr>
      <w:r w:rsidRPr="005455CC">
        <w:rPr>
          <w:rFonts w:eastAsia="Times New Roman" w:cstheme="minorHAnsi"/>
          <w:b/>
          <w:bCs/>
          <w:color w:val="212121"/>
          <w:sz w:val="18"/>
          <w:szCs w:val="18"/>
          <w:lang w:eastAsia="id-ID"/>
        </w:rPr>
        <w:t xml:space="preserve">Kata </w:t>
      </w:r>
      <w:r w:rsidRPr="005455CC">
        <w:rPr>
          <w:rFonts w:eastAsia="Times New Roman" w:cstheme="minorHAnsi"/>
          <w:b/>
          <w:bCs/>
          <w:color w:val="212121"/>
          <w:sz w:val="18"/>
          <w:szCs w:val="18"/>
          <w:lang w:val="en-US" w:eastAsia="id-ID"/>
        </w:rPr>
        <w:t>k</w:t>
      </w:r>
      <w:r w:rsidRPr="005455CC">
        <w:rPr>
          <w:rFonts w:eastAsia="Times New Roman" w:cstheme="minorHAnsi"/>
          <w:b/>
          <w:bCs/>
          <w:color w:val="212121"/>
          <w:sz w:val="18"/>
          <w:szCs w:val="18"/>
          <w:lang w:eastAsia="id-ID"/>
        </w:rPr>
        <w:t>unci</w:t>
      </w:r>
      <w:r w:rsidR="001B6579" w:rsidRPr="005455CC">
        <w:rPr>
          <w:rFonts w:eastAsia="Times New Roman" w:cstheme="minorHAnsi"/>
          <w:color w:val="212121"/>
          <w:sz w:val="18"/>
          <w:szCs w:val="18"/>
          <w:lang w:eastAsia="id-ID"/>
        </w:rPr>
        <w:t xml:space="preserve">: antibiotik, </w:t>
      </w:r>
      <w:r w:rsidRPr="005455CC">
        <w:rPr>
          <w:rFonts w:eastAsia="Times New Roman" w:cstheme="minorHAnsi"/>
          <w:color w:val="212121"/>
          <w:sz w:val="18"/>
          <w:szCs w:val="18"/>
          <w:lang w:eastAsia="id-ID"/>
        </w:rPr>
        <w:t>pengobatan antibiotik</w:t>
      </w:r>
      <w:r>
        <w:rPr>
          <w:rFonts w:eastAsia="Times New Roman" w:cstheme="minorHAnsi"/>
          <w:color w:val="212121"/>
          <w:sz w:val="18"/>
          <w:szCs w:val="18"/>
          <w:lang w:val="en-US" w:eastAsia="id-ID"/>
        </w:rPr>
        <w:t>,</w:t>
      </w:r>
      <w:r w:rsidRPr="005455CC">
        <w:rPr>
          <w:rFonts w:eastAsia="Times New Roman" w:cstheme="minorHAnsi"/>
          <w:color w:val="212121"/>
          <w:sz w:val="18"/>
          <w:szCs w:val="18"/>
          <w:lang w:eastAsia="id-ID"/>
        </w:rPr>
        <w:t xml:space="preserve"> </w:t>
      </w:r>
      <w:r w:rsidR="001B6579" w:rsidRPr="005455CC">
        <w:rPr>
          <w:rFonts w:eastAsia="Times New Roman" w:cstheme="minorHAnsi"/>
          <w:color w:val="212121"/>
          <w:sz w:val="18"/>
          <w:szCs w:val="18"/>
          <w:lang w:eastAsia="id-ID"/>
        </w:rPr>
        <w:t>uji kepekaan antibiotik</w:t>
      </w:r>
    </w:p>
    <w:p w:rsidR="00AA7FB7" w:rsidRPr="005455CC" w:rsidRDefault="00AA7FB7"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n-US" w:eastAsia="id-ID"/>
        </w:rPr>
      </w:pPr>
    </w:p>
    <w:p w:rsidR="00AA7FB7" w:rsidRPr="005455CC" w:rsidRDefault="005455CC"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8"/>
          <w:szCs w:val="28"/>
          <w:lang w:eastAsia="id-ID"/>
        </w:rPr>
      </w:pPr>
      <w:r w:rsidRPr="005455CC">
        <w:rPr>
          <w:rFonts w:eastAsia="Times New Roman" w:cstheme="minorHAnsi"/>
          <w:b/>
          <w:sz w:val="28"/>
          <w:szCs w:val="28"/>
          <w:lang w:eastAsia="id-ID"/>
        </w:rPr>
        <w:t xml:space="preserve">Susceptibility Test </w:t>
      </w:r>
      <w:r w:rsidRPr="005455CC">
        <w:rPr>
          <w:rFonts w:eastAsia="Times New Roman" w:cstheme="minorHAnsi"/>
          <w:b/>
          <w:sz w:val="28"/>
          <w:szCs w:val="28"/>
          <w:lang w:val="en-US" w:eastAsia="id-ID"/>
        </w:rPr>
        <w:t>o</w:t>
      </w:r>
      <w:r w:rsidRPr="005455CC">
        <w:rPr>
          <w:rFonts w:eastAsia="Times New Roman" w:cstheme="minorHAnsi"/>
          <w:b/>
          <w:sz w:val="28"/>
          <w:szCs w:val="28"/>
          <w:lang w:eastAsia="id-ID"/>
        </w:rPr>
        <w:t>f Antimicroba</w:t>
      </w:r>
    </w:p>
    <w:p w:rsidR="001F0BD9" w:rsidRPr="007B2E68" w:rsidRDefault="001F0BD9" w:rsidP="00545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18"/>
          <w:szCs w:val="18"/>
          <w:lang w:val="en-US"/>
        </w:rPr>
      </w:pPr>
    </w:p>
    <w:p w:rsidR="00607E86" w:rsidRPr="005455CC" w:rsidRDefault="00607E86" w:rsidP="005455CC">
      <w:pPr>
        <w:spacing w:after="0" w:line="240" w:lineRule="auto"/>
        <w:jc w:val="center"/>
        <w:rPr>
          <w:rFonts w:cstheme="minorHAnsi"/>
          <w:b/>
          <w:iCs/>
          <w:sz w:val="18"/>
          <w:szCs w:val="18"/>
        </w:rPr>
      </w:pPr>
      <w:r w:rsidRPr="005455CC">
        <w:rPr>
          <w:rFonts w:cstheme="minorHAnsi"/>
          <w:b/>
          <w:iCs/>
          <w:sz w:val="18"/>
          <w:szCs w:val="18"/>
        </w:rPr>
        <w:t>Abstract</w:t>
      </w:r>
    </w:p>
    <w:p w:rsidR="001F0BD9" w:rsidRPr="005455CC" w:rsidRDefault="00607E86" w:rsidP="005455CC">
      <w:pPr>
        <w:spacing w:after="0" w:line="240" w:lineRule="auto"/>
        <w:jc w:val="both"/>
        <w:rPr>
          <w:rFonts w:cstheme="minorHAnsi"/>
          <w:iCs/>
          <w:sz w:val="18"/>
          <w:szCs w:val="18"/>
        </w:rPr>
      </w:pPr>
      <w:r w:rsidRPr="005455CC">
        <w:rPr>
          <w:rFonts w:cstheme="minorHAnsi"/>
          <w:iCs/>
          <w:sz w:val="18"/>
          <w:szCs w:val="18"/>
        </w:rPr>
        <w:t>Antimicrobial susceptibility testing begin when WHO initiated a meeting in Geneva in 1977, the concern for the wider good of antimicrobial resistance associated with human or animal infections. This sparked a surveillance program to monitor antimicrobial resistance using appropriate methods. The sensitivity of antimicrobial test will help clinicians to determine appropriate antimicrobial to treat the infection. To obtain valid results, sensitivity tests should be performed with an accurate and precise method, which is the direct method can be used to support treatment efforts. Important criteria in sensitivity test method is to do with the patient's response to antimicrobial therapy.</w:t>
      </w:r>
    </w:p>
    <w:p w:rsidR="005455CC" w:rsidRDefault="005455CC" w:rsidP="005455CC">
      <w:pPr>
        <w:spacing w:after="0" w:line="240" w:lineRule="auto"/>
        <w:jc w:val="both"/>
        <w:rPr>
          <w:rFonts w:cstheme="minorHAnsi"/>
          <w:b/>
          <w:iCs/>
          <w:sz w:val="18"/>
          <w:szCs w:val="18"/>
          <w:lang w:val="en-US"/>
        </w:rPr>
      </w:pPr>
    </w:p>
    <w:p w:rsidR="00607E86" w:rsidRPr="005455CC" w:rsidRDefault="00607E86" w:rsidP="005455CC">
      <w:pPr>
        <w:spacing w:after="0" w:line="240" w:lineRule="auto"/>
        <w:jc w:val="both"/>
        <w:rPr>
          <w:rFonts w:cstheme="minorHAnsi"/>
          <w:iCs/>
          <w:sz w:val="18"/>
          <w:szCs w:val="18"/>
        </w:rPr>
      </w:pPr>
      <w:r w:rsidRPr="005455CC">
        <w:rPr>
          <w:rFonts w:cstheme="minorHAnsi"/>
          <w:b/>
          <w:iCs/>
          <w:sz w:val="18"/>
          <w:szCs w:val="18"/>
        </w:rPr>
        <w:t>Keywords</w:t>
      </w:r>
      <w:r w:rsidR="001B6579" w:rsidRPr="005455CC">
        <w:rPr>
          <w:rFonts w:cstheme="minorHAnsi"/>
          <w:iCs/>
          <w:sz w:val="18"/>
          <w:szCs w:val="18"/>
        </w:rPr>
        <w:t>: antibiotic</w:t>
      </w:r>
      <w:r w:rsidRPr="005455CC">
        <w:rPr>
          <w:rFonts w:cstheme="minorHAnsi"/>
          <w:iCs/>
          <w:sz w:val="18"/>
          <w:szCs w:val="18"/>
        </w:rPr>
        <w:t>, antimicobial susceptibiliity tes, antimicobial therapy</w:t>
      </w:r>
    </w:p>
    <w:p w:rsidR="005455CC" w:rsidRPr="007B2E68" w:rsidRDefault="005455CC" w:rsidP="005455CC">
      <w:pPr>
        <w:spacing w:after="0" w:line="240" w:lineRule="auto"/>
        <w:jc w:val="both"/>
        <w:rPr>
          <w:rFonts w:cstheme="minorHAnsi"/>
          <w:sz w:val="18"/>
          <w:szCs w:val="18"/>
          <w:lang w:val="en-US"/>
        </w:rPr>
      </w:pPr>
    </w:p>
    <w:p w:rsidR="00400256" w:rsidRPr="007B2E68" w:rsidRDefault="005455CC" w:rsidP="005455CC">
      <w:pPr>
        <w:spacing w:after="0" w:line="240" w:lineRule="auto"/>
        <w:jc w:val="both"/>
        <w:rPr>
          <w:rFonts w:cstheme="minorHAnsi"/>
          <w:sz w:val="18"/>
          <w:szCs w:val="18"/>
        </w:rPr>
      </w:pPr>
      <w:r w:rsidRPr="007B2E68">
        <w:rPr>
          <w:rFonts w:cstheme="minorHAnsi"/>
          <w:sz w:val="18"/>
          <w:szCs w:val="18"/>
        </w:rPr>
        <w:t>Korespondensi: dr. Tri Umiana Soleha, M.</w:t>
      </w:r>
      <w:r w:rsidR="00400256" w:rsidRPr="007B2E68">
        <w:rPr>
          <w:rFonts w:cstheme="minorHAnsi"/>
          <w:sz w:val="18"/>
          <w:szCs w:val="18"/>
        </w:rPr>
        <w:t>Kes</w:t>
      </w:r>
      <w:r w:rsidRPr="007B2E68">
        <w:rPr>
          <w:rFonts w:cstheme="minorHAnsi"/>
          <w:sz w:val="18"/>
          <w:szCs w:val="18"/>
          <w:lang w:val="en-US"/>
        </w:rPr>
        <w:t>.</w:t>
      </w:r>
      <w:r w:rsidR="00400256" w:rsidRPr="007B2E68">
        <w:rPr>
          <w:rFonts w:cstheme="minorHAnsi"/>
          <w:sz w:val="18"/>
          <w:szCs w:val="18"/>
        </w:rPr>
        <w:t>, Jl</w:t>
      </w:r>
      <w:r w:rsidRPr="007B2E68">
        <w:rPr>
          <w:rFonts w:cstheme="minorHAnsi"/>
          <w:sz w:val="18"/>
          <w:szCs w:val="18"/>
          <w:lang w:val="en-US"/>
        </w:rPr>
        <w:t>n</w:t>
      </w:r>
      <w:r w:rsidRPr="007B2E68">
        <w:rPr>
          <w:rFonts w:cstheme="minorHAnsi"/>
          <w:sz w:val="18"/>
          <w:szCs w:val="18"/>
        </w:rPr>
        <w:t>. S</w:t>
      </w:r>
      <w:r w:rsidRPr="007B2E68">
        <w:rPr>
          <w:rFonts w:cstheme="minorHAnsi"/>
          <w:sz w:val="18"/>
          <w:szCs w:val="18"/>
          <w:lang w:val="en-US"/>
        </w:rPr>
        <w:t>oe</w:t>
      </w:r>
      <w:r w:rsidR="00400256" w:rsidRPr="007B2E68">
        <w:rPr>
          <w:rFonts w:cstheme="minorHAnsi"/>
          <w:sz w:val="18"/>
          <w:szCs w:val="18"/>
        </w:rPr>
        <w:t>mantri Brojonegoro No.</w:t>
      </w:r>
      <w:r w:rsidRPr="007B2E68">
        <w:rPr>
          <w:rFonts w:cstheme="minorHAnsi"/>
          <w:sz w:val="18"/>
          <w:szCs w:val="18"/>
          <w:lang w:val="en-US"/>
        </w:rPr>
        <w:t xml:space="preserve"> </w:t>
      </w:r>
      <w:r w:rsidRPr="007B2E68">
        <w:rPr>
          <w:rFonts w:cstheme="minorHAnsi"/>
          <w:sz w:val="18"/>
          <w:szCs w:val="18"/>
        </w:rPr>
        <w:t xml:space="preserve">1 Gedong Meneng, </w:t>
      </w:r>
      <w:r w:rsidRPr="007B2E68">
        <w:rPr>
          <w:rFonts w:cstheme="minorHAnsi"/>
          <w:sz w:val="18"/>
          <w:szCs w:val="18"/>
          <w:lang w:val="en-US"/>
        </w:rPr>
        <w:t>HP</w:t>
      </w:r>
      <w:r w:rsidRPr="007B2E68">
        <w:rPr>
          <w:rFonts w:cstheme="minorHAnsi"/>
          <w:sz w:val="18"/>
          <w:szCs w:val="18"/>
        </w:rPr>
        <w:t xml:space="preserve"> 085269043993, email</w:t>
      </w:r>
      <w:r w:rsidR="00400256" w:rsidRPr="007B2E68">
        <w:rPr>
          <w:rFonts w:cstheme="minorHAnsi"/>
          <w:sz w:val="18"/>
          <w:szCs w:val="18"/>
        </w:rPr>
        <w:t>: dr.triumiana.unila@gmail.com</w:t>
      </w:r>
    </w:p>
    <w:p w:rsidR="00607E86" w:rsidRPr="008C534A" w:rsidRDefault="00607E86" w:rsidP="005455CC">
      <w:pPr>
        <w:spacing w:after="0" w:line="240" w:lineRule="auto"/>
        <w:jc w:val="both"/>
        <w:rPr>
          <w:rFonts w:cstheme="minorHAnsi"/>
          <w:i/>
          <w:sz w:val="24"/>
          <w:szCs w:val="24"/>
        </w:rPr>
      </w:pPr>
    </w:p>
    <w:p w:rsidR="000148CD" w:rsidRDefault="000148CD" w:rsidP="005455CC">
      <w:pPr>
        <w:spacing w:after="0" w:line="240" w:lineRule="auto"/>
        <w:jc w:val="both"/>
        <w:rPr>
          <w:rFonts w:cstheme="minorHAnsi"/>
          <w:b/>
          <w:sz w:val="24"/>
          <w:szCs w:val="24"/>
          <w:lang w:val="en-US"/>
        </w:rPr>
      </w:pPr>
    </w:p>
    <w:p w:rsidR="005455CC" w:rsidRPr="005455CC" w:rsidRDefault="005455CC" w:rsidP="005455CC">
      <w:pPr>
        <w:spacing w:after="0" w:line="240" w:lineRule="auto"/>
        <w:jc w:val="both"/>
        <w:rPr>
          <w:rFonts w:cstheme="minorHAnsi"/>
          <w:b/>
          <w:sz w:val="24"/>
          <w:szCs w:val="24"/>
          <w:lang w:val="en-US"/>
        </w:rPr>
        <w:sectPr w:rsidR="005455CC" w:rsidRPr="005455CC" w:rsidSect="00366F3F">
          <w:headerReference w:type="default" r:id="rId7"/>
          <w:pgSz w:w="11906" w:h="16838" w:code="9"/>
          <w:pgMar w:top="1134" w:right="1134" w:bottom="1134" w:left="1701" w:header="709" w:footer="709" w:gutter="0"/>
          <w:cols w:space="708"/>
          <w:docGrid w:linePitch="360"/>
        </w:sectPr>
      </w:pPr>
    </w:p>
    <w:p w:rsidR="00607E86" w:rsidRPr="005455CC" w:rsidRDefault="00607E86" w:rsidP="005455CC">
      <w:pPr>
        <w:spacing w:after="0" w:line="240" w:lineRule="auto"/>
        <w:jc w:val="both"/>
        <w:rPr>
          <w:rFonts w:cstheme="minorHAnsi"/>
          <w:b/>
        </w:rPr>
      </w:pPr>
      <w:r w:rsidRPr="005455CC">
        <w:rPr>
          <w:rFonts w:cstheme="minorHAnsi"/>
          <w:b/>
        </w:rPr>
        <w:lastRenderedPageBreak/>
        <w:t>Pendahuluan</w:t>
      </w:r>
    </w:p>
    <w:p w:rsidR="000148CD" w:rsidRPr="005455CC" w:rsidRDefault="000148CD" w:rsidP="005455CC">
      <w:pPr>
        <w:spacing w:after="0" w:line="240" w:lineRule="auto"/>
        <w:ind w:firstLine="567"/>
        <w:jc w:val="both"/>
        <w:rPr>
          <w:rFonts w:eastAsia="Times New Roman" w:cstheme="minorHAnsi"/>
          <w:vertAlign w:val="superscript"/>
        </w:rPr>
      </w:pPr>
      <w:r w:rsidRPr="005455CC">
        <w:rPr>
          <w:rFonts w:eastAsia="Times New Roman" w:cstheme="minorHAnsi"/>
        </w:rPr>
        <w:t>Meskipun sejak awal abad 20 antibiotik sebagai agen kemoterapi telah sukses dalam memerangi penyakit infeksi oleh bakteri, namun penyakit infeksi masih menjadi penyebab utama kematian di seluruh dunia. Bakteri penyebab infeksi telah mengembangkan perlindungan terhadap senyawa biokimia lingkungan, dan untuk resisten terhadap antibiotik yang berbahaya bagi mereka. Resistensi  mikroorganisme patogen tersebut memberikan perlindungan terhadap intervensi kemoterapi antibiotik dan dapat menyebabkan infeksi yang menjadi</w:t>
      </w:r>
      <w:r w:rsidR="0072769C" w:rsidRPr="005455CC">
        <w:rPr>
          <w:rFonts w:eastAsia="Times New Roman" w:cstheme="minorHAnsi"/>
        </w:rPr>
        <w:t xml:space="preserve"> lebih sulit untuk disembuhkan.</w:t>
      </w:r>
      <w:r w:rsidR="005455CC">
        <w:rPr>
          <w:rFonts w:eastAsia="Times New Roman" w:cstheme="minorHAnsi"/>
          <w:vertAlign w:val="superscript"/>
        </w:rPr>
        <w:t>1</w:t>
      </w:r>
      <w:r w:rsidR="005455CC">
        <w:rPr>
          <w:rFonts w:eastAsia="Times New Roman" w:cstheme="minorHAnsi"/>
          <w:vertAlign w:val="superscript"/>
          <w:lang w:val="en-US"/>
        </w:rPr>
        <w:t>,</w:t>
      </w:r>
      <w:r w:rsidRPr="005455CC">
        <w:rPr>
          <w:rFonts w:eastAsia="Times New Roman" w:cstheme="minorHAnsi"/>
          <w:vertAlign w:val="superscript"/>
        </w:rPr>
        <w:t>2</w:t>
      </w:r>
    </w:p>
    <w:p w:rsidR="006B753C" w:rsidRDefault="000148CD" w:rsidP="006B753C">
      <w:pPr>
        <w:spacing w:after="0" w:line="240" w:lineRule="auto"/>
        <w:ind w:firstLine="567"/>
        <w:jc w:val="both"/>
        <w:rPr>
          <w:rFonts w:eastAsia="Times New Roman" w:cstheme="minorHAnsi"/>
          <w:vertAlign w:val="superscript"/>
          <w:lang w:val="en-US"/>
        </w:rPr>
      </w:pPr>
      <w:r w:rsidRPr="005455CC">
        <w:rPr>
          <w:rFonts w:eastAsia="Times New Roman" w:cstheme="minorHAnsi"/>
        </w:rPr>
        <w:t>Antibiotik merupakan senyawa alami maupun sintetik yang mempunyai efek menekan atau menghentikan proses biokimiawi di dalam organisme, khususnya dalam proses infeksi oleh mikroba. Macam-macam kelompok antibiotik</w:t>
      </w:r>
      <w:r w:rsidR="005455CC">
        <w:rPr>
          <w:rFonts w:eastAsia="Times New Roman" w:cstheme="minorHAnsi"/>
          <w:lang w:val="en-US"/>
        </w:rPr>
        <w:t>,</w:t>
      </w:r>
      <w:r w:rsidRPr="005455CC">
        <w:rPr>
          <w:rFonts w:eastAsia="Times New Roman" w:cstheme="minorHAnsi"/>
        </w:rPr>
        <w:t xml:space="preserve"> yaitu:</w:t>
      </w:r>
      <w:r w:rsidRPr="005455CC">
        <w:rPr>
          <w:rFonts w:eastAsia="Times New Roman" w:cstheme="minorHAnsi"/>
          <w:vertAlign w:val="superscript"/>
        </w:rPr>
        <w:t>2</w:t>
      </w:r>
    </w:p>
    <w:p w:rsidR="007B2E68" w:rsidRPr="007B2E68" w:rsidRDefault="007B2E68" w:rsidP="007B2E68">
      <w:pPr>
        <w:pStyle w:val="ListParagraph"/>
        <w:numPr>
          <w:ilvl w:val="0"/>
          <w:numId w:val="19"/>
        </w:numPr>
        <w:ind w:left="284" w:hanging="284"/>
        <w:jc w:val="both"/>
        <w:rPr>
          <w:rFonts w:asciiTheme="minorHAnsi" w:eastAsia="Times New Roman" w:hAnsiTheme="minorHAnsi" w:cstheme="minorHAnsi"/>
          <w:sz w:val="22"/>
          <w:szCs w:val="22"/>
        </w:rPr>
      </w:pPr>
      <w:r w:rsidRPr="007B2E68">
        <w:rPr>
          <w:rFonts w:asciiTheme="minorHAnsi" w:eastAsia="Times New Roman" w:hAnsiTheme="minorHAnsi" w:cstheme="minorHAnsi"/>
          <w:sz w:val="22"/>
          <w:szCs w:val="22"/>
        </w:rPr>
        <w:t>Antibiotik yang mengganggu biosintesis dinding sel bakteri, con</w:t>
      </w:r>
      <w:r>
        <w:rPr>
          <w:rFonts w:asciiTheme="minorHAnsi" w:eastAsia="Times New Roman" w:hAnsiTheme="minorHAnsi" w:cstheme="minorHAnsi"/>
          <w:sz w:val="22"/>
          <w:szCs w:val="22"/>
        </w:rPr>
        <w:t>tohnya adalah kelompok β-laktam</w:t>
      </w:r>
      <w:r w:rsidRPr="007B2E68">
        <w:rPr>
          <w:rFonts w:asciiTheme="minorHAnsi" w:eastAsia="Times New Roman" w:hAnsiTheme="minorHAnsi" w:cstheme="minorHAnsi"/>
          <w:sz w:val="22"/>
          <w:szCs w:val="22"/>
        </w:rPr>
        <w:t xml:space="preserve"> dan kelompok glikopept</w:t>
      </w:r>
      <w:r>
        <w:rPr>
          <w:rFonts w:asciiTheme="minorHAnsi" w:eastAsia="Times New Roman" w:hAnsiTheme="minorHAnsi" w:cstheme="minorHAnsi"/>
          <w:sz w:val="22"/>
          <w:szCs w:val="22"/>
        </w:rPr>
        <w:t xml:space="preserve">ida. Contoh antibiotik β-laktam </w:t>
      </w:r>
      <w:r>
        <w:rPr>
          <w:rFonts w:asciiTheme="minorHAnsi" w:eastAsia="Times New Roman" w:hAnsiTheme="minorHAnsi" w:cstheme="minorHAnsi"/>
          <w:sz w:val="22"/>
          <w:szCs w:val="22"/>
        </w:rPr>
        <w:lastRenderedPageBreak/>
        <w:t>adalah penisilin dan sefalo</w:t>
      </w:r>
      <w:r w:rsidRPr="007B2E68">
        <w:rPr>
          <w:rFonts w:asciiTheme="minorHAnsi" w:eastAsia="Times New Roman" w:hAnsiTheme="minorHAnsi" w:cstheme="minorHAnsi"/>
          <w:sz w:val="22"/>
          <w:szCs w:val="22"/>
        </w:rPr>
        <w:t>sporin, sedangkan antibiotik kelompok glikope</w:t>
      </w:r>
      <w:r>
        <w:rPr>
          <w:rFonts w:asciiTheme="minorHAnsi" w:eastAsia="Times New Roman" w:hAnsiTheme="minorHAnsi" w:cstheme="minorHAnsi"/>
          <w:sz w:val="22"/>
          <w:szCs w:val="22"/>
        </w:rPr>
        <w:t>ptida contohnya adalah vankomisin</w:t>
      </w:r>
      <w:r w:rsidRPr="007B2E68">
        <w:rPr>
          <w:rFonts w:asciiTheme="minorHAnsi" w:eastAsia="Times New Roman" w:hAnsiTheme="minorHAnsi" w:cstheme="minorHAnsi"/>
          <w:sz w:val="22"/>
          <w:szCs w:val="22"/>
        </w:rPr>
        <w:t>.</w:t>
      </w:r>
    </w:p>
    <w:p w:rsidR="007B2E68" w:rsidRPr="007B2E68" w:rsidRDefault="007B2E68" w:rsidP="007B2E68">
      <w:pPr>
        <w:pStyle w:val="ListParagraph"/>
        <w:numPr>
          <w:ilvl w:val="0"/>
          <w:numId w:val="19"/>
        </w:numPr>
        <w:ind w:left="284" w:hanging="284"/>
        <w:jc w:val="both"/>
        <w:rPr>
          <w:rFonts w:asciiTheme="minorHAnsi" w:eastAsia="Times New Roman" w:hAnsiTheme="minorHAnsi" w:cstheme="minorHAnsi"/>
          <w:sz w:val="22"/>
          <w:szCs w:val="22"/>
        </w:rPr>
      </w:pPr>
      <w:r w:rsidRPr="007B2E68">
        <w:rPr>
          <w:rFonts w:asciiTheme="minorHAnsi" w:eastAsia="Times New Roman" w:hAnsiTheme="minorHAnsi" w:cstheme="minorHAnsi"/>
          <w:sz w:val="22"/>
          <w:szCs w:val="22"/>
        </w:rPr>
        <w:t xml:space="preserve">Antibiotik yang termasuk kelompok peptida yang mengandung </w:t>
      </w:r>
      <w:r w:rsidRPr="007B2E68">
        <w:rPr>
          <w:rFonts w:asciiTheme="minorHAnsi" w:eastAsia="Times New Roman" w:hAnsiTheme="minorHAnsi" w:cstheme="minorHAnsi"/>
          <w:i/>
          <w:iCs/>
          <w:sz w:val="22"/>
          <w:szCs w:val="22"/>
        </w:rPr>
        <w:t>lanthionine</w:t>
      </w:r>
      <w:r>
        <w:rPr>
          <w:rFonts w:asciiTheme="minorHAnsi" w:eastAsia="Times New Roman" w:hAnsiTheme="minorHAnsi" w:cstheme="minorHAnsi"/>
          <w:sz w:val="22"/>
          <w:szCs w:val="22"/>
        </w:rPr>
        <w:t xml:space="preserve"> (contoh: </w:t>
      </w:r>
      <w:r w:rsidRPr="007B2E68">
        <w:rPr>
          <w:rFonts w:asciiTheme="minorHAnsi" w:eastAsia="Times New Roman" w:hAnsiTheme="minorHAnsi" w:cstheme="minorHAnsi"/>
          <w:sz w:val="22"/>
          <w:szCs w:val="22"/>
        </w:rPr>
        <w:t>nisin dan subtilin) merusak molekul membran sel bakteri.</w:t>
      </w:r>
    </w:p>
    <w:p w:rsidR="007B2E68" w:rsidRPr="007B2E68" w:rsidRDefault="007B2E68" w:rsidP="007B2E68">
      <w:pPr>
        <w:pStyle w:val="ListParagraph"/>
        <w:numPr>
          <w:ilvl w:val="0"/>
          <w:numId w:val="19"/>
        </w:numPr>
        <w:ind w:left="284" w:hanging="284"/>
        <w:jc w:val="both"/>
        <w:rPr>
          <w:rFonts w:asciiTheme="minorHAnsi" w:eastAsia="Times New Roman" w:hAnsiTheme="minorHAnsi" w:cstheme="minorHAnsi"/>
          <w:sz w:val="22"/>
          <w:szCs w:val="22"/>
        </w:rPr>
      </w:pPr>
      <w:r w:rsidRPr="007B2E68">
        <w:rPr>
          <w:rFonts w:asciiTheme="minorHAnsi" w:eastAsia="Times New Roman" w:hAnsiTheme="minorHAnsi" w:cstheme="minorHAnsi"/>
          <w:sz w:val="22"/>
          <w:szCs w:val="22"/>
        </w:rPr>
        <w:t xml:space="preserve">Antibiotik kelompok </w:t>
      </w:r>
      <w:r>
        <w:rPr>
          <w:rFonts w:asciiTheme="minorHAnsi" w:eastAsia="Times New Roman" w:hAnsiTheme="minorHAnsi" w:cstheme="minorHAnsi"/>
          <w:sz w:val="22"/>
          <w:szCs w:val="22"/>
        </w:rPr>
        <w:t>makrolid</w:t>
      </w:r>
      <w:r w:rsidRPr="007B2E68">
        <w:rPr>
          <w:rFonts w:asciiTheme="minorHAnsi" w:eastAsia="Times New Roman" w:hAnsiTheme="minorHAnsi" w:cstheme="minorHAnsi"/>
          <w:sz w:val="22"/>
          <w:szCs w:val="22"/>
        </w:rPr>
        <w:t xml:space="preserve"> bekerja menghambat sintesis protein bakteri.</w:t>
      </w:r>
    </w:p>
    <w:p w:rsidR="007B2E68" w:rsidRDefault="007B2E68" w:rsidP="007B2E68">
      <w:pPr>
        <w:pStyle w:val="ListParagraph"/>
        <w:numPr>
          <w:ilvl w:val="0"/>
          <w:numId w:val="19"/>
        </w:numPr>
        <w:ind w:left="284" w:hanging="284"/>
        <w:jc w:val="both"/>
        <w:rPr>
          <w:rFonts w:asciiTheme="minorHAnsi" w:eastAsia="Times New Roman" w:hAnsiTheme="minorHAnsi" w:cstheme="minorHAnsi"/>
          <w:sz w:val="22"/>
          <w:szCs w:val="22"/>
        </w:rPr>
      </w:pPr>
      <w:r w:rsidRPr="007B2E68">
        <w:rPr>
          <w:rFonts w:asciiTheme="minorHAnsi" w:eastAsia="Times New Roman" w:hAnsiTheme="minorHAnsi" w:cstheme="minorHAnsi"/>
          <w:sz w:val="22"/>
          <w:szCs w:val="22"/>
        </w:rPr>
        <w:t>Antibiotik kelompok aminoglikosida menghambat proses translasi.</w:t>
      </w:r>
    </w:p>
    <w:p w:rsidR="007B2E68" w:rsidRPr="007B2E68" w:rsidRDefault="007B2E68" w:rsidP="007B2E68">
      <w:pPr>
        <w:pStyle w:val="ListParagraph"/>
        <w:numPr>
          <w:ilvl w:val="0"/>
          <w:numId w:val="19"/>
        </w:numPr>
        <w:ind w:left="284" w:hanging="284"/>
        <w:jc w:val="both"/>
        <w:rPr>
          <w:rFonts w:asciiTheme="minorHAnsi" w:eastAsia="Times New Roman" w:hAnsiTheme="minorHAnsi" w:cstheme="minorHAnsi"/>
          <w:sz w:val="22"/>
          <w:szCs w:val="22"/>
        </w:rPr>
      </w:pPr>
      <w:r w:rsidRPr="007B2E68">
        <w:rPr>
          <w:rFonts w:asciiTheme="minorHAnsi" w:eastAsia="Times New Roman" w:hAnsiTheme="minorHAnsi" w:cstheme="minorHAnsi"/>
          <w:sz w:val="22"/>
          <w:szCs w:val="22"/>
        </w:rPr>
        <w:t>Antibiotik kelompok tetrasiklin bekerja pada ribosom bakteri dengan cara menghambat interaksi kodon-antikodon antara mRNA dengan tRNA.</w:t>
      </w:r>
    </w:p>
    <w:p w:rsidR="00DC2D5B" w:rsidRPr="005455CC" w:rsidRDefault="00DC2D5B" w:rsidP="006B753C">
      <w:pPr>
        <w:spacing w:after="0" w:line="240" w:lineRule="auto"/>
        <w:ind w:firstLine="567"/>
        <w:jc w:val="both"/>
        <w:rPr>
          <w:rFonts w:cstheme="minorHAnsi"/>
        </w:rPr>
      </w:pPr>
      <w:r w:rsidRPr="005455CC">
        <w:rPr>
          <w:rFonts w:cstheme="minorHAnsi"/>
        </w:rPr>
        <w:t>Mekanisme resistensi bakteri dapat terjadi dengan mekanisme sebagai berikut:</w:t>
      </w:r>
      <w:r w:rsidR="00C7275C" w:rsidRPr="005455CC">
        <w:rPr>
          <w:rFonts w:cstheme="minorHAnsi"/>
          <w:vertAlign w:val="superscript"/>
        </w:rPr>
        <w:t>2,3</w:t>
      </w:r>
    </w:p>
    <w:p w:rsidR="00DC2D5B" w:rsidRPr="005455CC" w:rsidRDefault="00DC2D5B" w:rsidP="006B753C">
      <w:pPr>
        <w:pStyle w:val="ListParagraph"/>
        <w:numPr>
          <w:ilvl w:val="0"/>
          <w:numId w:val="4"/>
        </w:numPr>
        <w:ind w:left="284" w:hanging="284"/>
        <w:jc w:val="both"/>
        <w:rPr>
          <w:rFonts w:asciiTheme="minorHAnsi" w:hAnsiTheme="minorHAnsi" w:cstheme="minorHAnsi"/>
          <w:sz w:val="22"/>
          <w:szCs w:val="22"/>
        </w:rPr>
      </w:pPr>
      <w:r w:rsidRPr="005455CC">
        <w:rPr>
          <w:rFonts w:asciiTheme="minorHAnsi" w:hAnsiTheme="minorHAnsi" w:cstheme="minorHAnsi"/>
          <w:sz w:val="22"/>
          <w:szCs w:val="22"/>
        </w:rPr>
        <w:t xml:space="preserve">Pengurangan akses </w:t>
      </w:r>
      <w:r w:rsidR="007B2E68">
        <w:rPr>
          <w:rFonts w:asciiTheme="minorHAnsi" w:hAnsiTheme="minorHAnsi" w:cstheme="minorHAnsi"/>
          <w:sz w:val="22"/>
          <w:szCs w:val="22"/>
        </w:rPr>
        <w:t>antibiotik</w:t>
      </w:r>
      <w:r w:rsidRPr="005455CC">
        <w:rPr>
          <w:rFonts w:asciiTheme="minorHAnsi" w:hAnsiTheme="minorHAnsi" w:cstheme="minorHAnsi"/>
          <w:sz w:val="22"/>
          <w:szCs w:val="22"/>
        </w:rPr>
        <w:t xml:space="preserve"> ke target porin pada membran luar</w:t>
      </w:r>
    </w:p>
    <w:p w:rsidR="00DC2D5B" w:rsidRPr="005455CC" w:rsidRDefault="00DC2D5B" w:rsidP="006B753C">
      <w:pPr>
        <w:pStyle w:val="ListParagraph"/>
        <w:numPr>
          <w:ilvl w:val="0"/>
          <w:numId w:val="4"/>
        </w:numPr>
        <w:ind w:left="284" w:hanging="284"/>
        <w:jc w:val="both"/>
        <w:rPr>
          <w:rFonts w:asciiTheme="minorHAnsi" w:hAnsiTheme="minorHAnsi" w:cstheme="minorHAnsi"/>
          <w:sz w:val="22"/>
          <w:szCs w:val="22"/>
        </w:rPr>
      </w:pPr>
      <w:r w:rsidRPr="005455CC">
        <w:rPr>
          <w:rFonts w:asciiTheme="minorHAnsi" w:hAnsiTheme="minorHAnsi" w:cstheme="minorHAnsi"/>
          <w:sz w:val="22"/>
          <w:szCs w:val="22"/>
        </w:rPr>
        <w:t>Inaktivasi enzimatis laktamase-ß (ß-</w:t>
      </w:r>
      <w:r w:rsidR="007B2E68">
        <w:rPr>
          <w:rFonts w:asciiTheme="minorHAnsi" w:hAnsiTheme="minorHAnsi" w:cstheme="minorHAnsi"/>
          <w:sz w:val="22"/>
          <w:szCs w:val="22"/>
        </w:rPr>
        <w:t>laktam</w:t>
      </w:r>
      <w:r w:rsidRPr="005455CC">
        <w:rPr>
          <w:rFonts w:asciiTheme="minorHAnsi" w:hAnsiTheme="minorHAnsi" w:cstheme="minorHAnsi"/>
          <w:sz w:val="22"/>
          <w:szCs w:val="22"/>
        </w:rPr>
        <w:t>ase)</w:t>
      </w:r>
    </w:p>
    <w:p w:rsidR="00DC2D5B" w:rsidRPr="005455CC" w:rsidRDefault="006B753C" w:rsidP="006B753C">
      <w:pPr>
        <w:pStyle w:val="ListParagraph"/>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Modifikasi/p</w:t>
      </w:r>
      <w:r w:rsidR="00DC2D5B" w:rsidRPr="005455CC">
        <w:rPr>
          <w:rFonts w:asciiTheme="minorHAnsi" w:hAnsiTheme="minorHAnsi" w:cstheme="minorHAnsi"/>
          <w:sz w:val="22"/>
          <w:szCs w:val="22"/>
        </w:rPr>
        <w:t>roteksi</w:t>
      </w:r>
      <w:r w:rsidR="00DC2D5B" w:rsidRPr="005455CC">
        <w:rPr>
          <w:rFonts w:asciiTheme="minorHAnsi" w:hAnsiTheme="minorHAnsi" w:cstheme="minorHAnsi"/>
          <w:sz w:val="22"/>
          <w:szCs w:val="22"/>
          <w:lang w:val="id-ID"/>
        </w:rPr>
        <w:t xml:space="preserve"> </w:t>
      </w:r>
      <w:r w:rsidR="00DC2D5B" w:rsidRPr="005455CC">
        <w:rPr>
          <w:rFonts w:asciiTheme="minorHAnsi" w:hAnsiTheme="minorHAnsi" w:cstheme="minorHAnsi"/>
          <w:sz w:val="22"/>
          <w:szCs w:val="22"/>
        </w:rPr>
        <w:t>target resistensi terhadap ß-</w:t>
      </w:r>
      <w:r w:rsidR="007B2E68">
        <w:rPr>
          <w:rFonts w:asciiTheme="minorHAnsi" w:hAnsiTheme="minorHAnsi" w:cstheme="minorHAnsi"/>
          <w:sz w:val="22"/>
          <w:szCs w:val="22"/>
        </w:rPr>
        <w:t>laktam</w:t>
      </w:r>
      <w:r w:rsidR="00DC2D5B" w:rsidRPr="005455CC">
        <w:rPr>
          <w:rFonts w:asciiTheme="minorHAnsi" w:hAnsiTheme="minorHAnsi" w:cstheme="minorHAnsi"/>
          <w:sz w:val="22"/>
          <w:szCs w:val="22"/>
          <w:lang w:val="id-ID"/>
        </w:rPr>
        <w:t>, tetrasiklin</w:t>
      </w:r>
      <w:r>
        <w:rPr>
          <w:rFonts w:asciiTheme="minorHAnsi" w:hAnsiTheme="minorHAnsi" w:cstheme="minorHAnsi"/>
          <w:sz w:val="22"/>
          <w:szCs w:val="22"/>
        </w:rPr>
        <w:t>,</w:t>
      </w:r>
      <w:r w:rsidR="00DC2D5B" w:rsidRPr="005455CC">
        <w:rPr>
          <w:rFonts w:asciiTheme="minorHAnsi" w:hAnsiTheme="minorHAnsi" w:cstheme="minorHAnsi"/>
          <w:sz w:val="22"/>
          <w:szCs w:val="22"/>
          <w:lang w:val="id-ID"/>
        </w:rPr>
        <w:t xml:space="preserve"> dan kuinolon</w:t>
      </w:r>
    </w:p>
    <w:p w:rsidR="00DC2D5B" w:rsidRPr="005455CC" w:rsidRDefault="006B753C" w:rsidP="006B753C">
      <w:pPr>
        <w:pStyle w:val="ListParagraph"/>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Kegagalan aktivasi </w:t>
      </w:r>
      <w:r w:rsidR="007B2E68">
        <w:rPr>
          <w:rFonts w:asciiTheme="minorHAnsi" w:hAnsiTheme="minorHAnsi" w:cstheme="minorHAnsi"/>
          <w:sz w:val="22"/>
          <w:szCs w:val="22"/>
        </w:rPr>
        <w:t>antibiotik</w:t>
      </w:r>
    </w:p>
    <w:p w:rsidR="00DD58F9" w:rsidRPr="005455CC" w:rsidRDefault="006B753C" w:rsidP="006B753C">
      <w:pPr>
        <w:pStyle w:val="ListParagraph"/>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Efluks aktif </w:t>
      </w:r>
      <w:r w:rsidR="007B2E68">
        <w:rPr>
          <w:rFonts w:asciiTheme="minorHAnsi" w:hAnsiTheme="minorHAnsi" w:cstheme="minorHAnsi"/>
          <w:sz w:val="22"/>
          <w:szCs w:val="22"/>
        </w:rPr>
        <w:t>antibiotik</w:t>
      </w:r>
      <w:r>
        <w:rPr>
          <w:rFonts w:asciiTheme="minorHAnsi" w:hAnsiTheme="minorHAnsi" w:cstheme="minorHAnsi"/>
          <w:sz w:val="22"/>
          <w:szCs w:val="22"/>
        </w:rPr>
        <w:t>.</w:t>
      </w:r>
    </w:p>
    <w:p w:rsidR="00DD58F9" w:rsidRPr="005455CC" w:rsidRDefault="00DD58F9" w:rsidP="006B753C">
      <w:pPr>
        <w:autoSpaceDE w:val="0"/>
        <w:autoSpaceDN w:val="0"/>
        <w:adjustRightInd w:val="0"/>
        <w:spacing w:after="0" w:line="240" w:lineRule="auto"/>
        <w:ind w:firstLine="567"/>
        <w:jc w:val="both"/>
        <w:rPr>
          <w:rFonts w:cstheme="minorHAnsi"/>
          <w:vertAlign w:val="superscript"/>
        </w:rPr>
      </w:pPr>
      <w:r w:rsidRPr="005455CC">
        <w:rPr>
          <w:rFonts w:cstheme="minorHAnsi"/>
        </w:rPr>
        <w:t>Pada prinsipnya tes kepekaan terhadap antimikroba adalah penentuan terhadap bakteri penyebab penyakit yang kemungkinan menunjukkan resistensi terhadap suatu antimikroba atau kemampuan suatu antimikroba untuk menghambat pertumbuhan bakteri yang tumbuh in vitro, sehingga dapat dipilih sebagai antimikroba  yang berpotensi untuk pengobatan.</w:t>
      </w:r>
      <w:r w:rsidRPr="005455CC">
        <w:rPr>
          <w:rFonts w:cstheme="minorHAnsi"/>
          <w:vertAlign w:val="superscript"/>
        </w:rPr>
        <w:t>2,4</w:t>
      </w:r>
    </w:p>
    <w:p w:rsidR="00DD58F9" w:rsidRPr="005455CC" w:rsidRDefault="00DD58F9" w:rsidP="006B753C">
      <w:pPr>
        <w:spacing w:after="0" w:line="240" w:lineRule="auto"/>
        <w:ind w:firstLine="567"/>
        <w:jc w:val="both"/>
        <w:rPr>
          <w:rFonts w:cstheme="minorHAnsi"/>
          <w:vertAlign w:val="superscript"/>
        </w:rPr>
      </w:pPr>
      <w:r w:rsidRPr="005455CC">
        <w:rPr>
          <w:rFonts w:cstheme="minorHAnsi"/>
        </w:rPr>
        <w:t>Uji kepekaan antimikroba (</w:t>
      </w:r>
      <w:r w:rsidRPr="005455CC">
        <w:rPr>
          <w:rFonts w:cstheme="minorHAnsi"/>
          <w:i/>
        </w:rPr>
        <w:t>antimicrobial susceptibility testing</w:t>
      </w:r>
      <w:r w:rsidRPr="005455CC">
        <w:rPr>
          <w:rFonts w:cstheme="minorHAnsi"/>
        </w:rPr>
        <w:t>) dilakukan pada isolat mikroba yang didapatkan dari spesimen pasien untuk mendapatkan agen antimikroba yang tepat untuk mengobati penyakit infeksi yang disebabkan oleh mikroba tersebut.</w:t>
      </w:r>
      <w:r w:rsidRPr="005455CC">
        <w:rPr>
          <w:rFonts w:cstheme="minorHAnsi"/>
          <w:vertAlign w:val="superscript"/>
        </w:rPr>
        <w:t>5</w:t>
      </w:r>
    </w:p>
    <w:p w:rsidR="00DD58F9" w:rsidRPr="005455CC" w:rsidRDefault="00DD58F9" w:rsidP="006B753C">
      <w:pPr>
        <w:autoSpaceDE w:val="0"/>
        <w:autoSpaceDN w:val="0"/>
        <w:adjustRightInd w:val="0"/>
        <w:spacing w:after="0" w:line="240" w:lineRule="auto"/>
        <w:ind w:firstLine="567"/>
        <w:jc w:val="both"/>
        <w:rPr>
          <w:rFonts w:cstheme="minorHAnsi"/>
          <w:bCs/>
        </w:rPr>
      </w:pPr>
      <w:r w:rsidRPr="005455CC">
        <w:rPr>
          <w:rFonts w:cstheme="minorHAnsi"/>
        </w:rPr>
        <w:t xml:space="preserve">Pengujian dilakukan di bawah kondisi standar, dimana kondisi standar berpedoman kepada </w:t>
      </w:r>
      <w:r w:rsidRPr="005455CC">
        <w:rPr>
          <w:rFonts w:cstheme="minorHAnsi"/>
          <w:i/>
        </w:rPr>
        <w:t>Clinical and Laboratory Standards Institute</w:t>
      </w:r>
      <w:r w:rsidRPr="005455CC">
        <w:rPr>
          <w:rFonts w:cstheme="minorHAnsi"/>
          <w:bCs/>
        </w:rPr>
        <w:t xml:space="preserve"> (CLSI). St</w:t>
      </w:r>
      <w:r w:rsidR="006B753C">
        <w:rPr>
          <w:rFonts w:cstheme="minorHAnsi"/>
          <w:bCs/>
        </w:rPr>
        <w:t>andar yang harus dipenuhi yaitu</w:t>
      </w:r>
      <w:r w:rsidRPr="005455CC">
        <w:rPr>
          <w:rFonts w:cstheme="minorHAnsi"/>
          <w:bCs/>
        </w:rPr>
        <w:t xml:space="preserve"> konsentrasi inokulum bakteri, media perbenihan (Muller Hinton) dengan memperhatikan pH, konsentrasi  kation, tambahan darah dan serum, kandungan timidin, suhu inkubasi, lamanya inkubasi</w:t>
      </w:r>
      <w:r w:rsidR="00366F3F" w:rsidRPr="00366F3F">
        <w:rPr>
          <w:rFonts w:cstheme="minorHAnsi"/>
          <w:bCs/>
        </w:rPr>
        <w:t>,</w:t>
      </w:r>
      <w:r w:rsidRPr="005455CC">
        <w:rPr>
          <w:rFonts w:cstheme="minorHAnsi"/>
          <w:bCs/>
        </w:rPr>
        <w:t xml:space="preserve"> dan konsentrasi antimikroba</w:t>
      </w:r>
      <w:r w:rsidR="008E755C" w:rsidRPr="005455CC">
        <w:rPr>
          <w:rFonts w:cstheme="minorHAnsi"/>
          <w:bCs/>
        </w:rPr>
        <w:t>.</w:t>
      </w:r>
      <w:r w:rsidR="008E755C" w:rsidRPr="005455CC">
        <w:rPr>
          <w:rFonts w:cstheme="minorHAnsi"/>
          <w:bCs/>
          <w:vertAlign w:val="superscript"/>
        </w:rPr>
        <w:t>2,</w:t>
      </w:r>
      <w:r w:rsidR="009D7D0F" w:rsidRPr="005455CC">
        <w:rPr>
          <w:rFonts w:cstheme="minorHAnsi"/>
          <w:bCs/>
          <w:vertAlign w:val="superscript"/>
        </w:rPr>
        <w:t>4,6</w:t>
      </w:r>
    </w:p>
    <w:p w:rsidR="00DD58F9" w:rsidRPr="005455CC" w:rsidRDefault="00DD58F9" w:rsidP="006B753C">
      <w:pPr>
        <w:pStyle w:val="ListParagraph"/>
        <w:autoSpaceDE w:val="0"/>
        <w:autoSpaceDN w:val="0"/>
        <w:adjustRightInd w:val="0"/>
        <w:ind w:left="0" w:firstLine="567"/>
        <w:jc w:val="both"/>
        <w:rPr>
          <w:rFonts w:asciiTheme="minorHAnsi" w:hAnsiTheme="minorHAnsi" w:cstheme="minorHAnsi"/>
          <w:sz w:val="22"/>
          <w:szCs w:val="22"/>
        </w:rPr>
      </w:pPr>
      <w:r w:rsidRPr="005455CC">
        <w:rPr>
          <w:rFonts w:asciiTheme="minorHAnsi" w:hAnsiTheme="minorHAnsi" w:cstheme="minorHAnsi"/>
          <w:sz w:val="22"/>
          <w:szCs w:val="22"/>
        </w:rPr>
        <w:t>Walaupun kondisi penting untuk pemeriksaan in</w:t>
      </w:r>
      <w:r w:rsidR="006B753C">
        <w:rPr>
          <w:rFonts w:asciiTheme="minorHAnsi" w:hAnsiTheme="minorHAnsi" w:cstheme="minorHAnsi"/>
          <w:sz w:val="22"/>
          <w:szCs w:val="22"/>
        </w:rPr>
        <w:t xml:space="preserve"> </w:t>
      </w:r>
      <w:r w:rsidRPr="005455CC">
        <w:rPr>
          <w:rFonts w:asciiTheme="minorHAnsi" w:hAnsiTheme="minorHAnsi" w:cstheme="minorHAnsi"/>
          <w:sz w:val="22"/>
          <w:szCs w:val="22"/>
        </w:rPr>
        <w:t>vitro telah distandarkan</w:t>
      </w:r>
      <w:r w:rsidR="00366F3F">
        <w:rPr>
          <w:rFonts w:asciiTheme="minorHAnsi" w:hAnsiTheme="minorHAnsi" w:cstheme="minorHAnsi"/>
          <w:sz w:val="22"/>
          <w:szCs w:val="22"/>
        </w:rPr>
        <w:t>,</w:t>
      </w:r>
      <w:r w:rsidRPr="005455CC">
        <w:rPr>
          <w:rFonts w:asciiTheme="minorHAnsi" w:hAnsiTheme="minorHAnsi" w:cstheme="minorHAnsi"/>
          <w:sz w:val="22"/>
          <w:szCs w:val="22"/>
        </w:rPr>
        <w:t xml:space="preserve"> namun tidak ada kondisi in</w:t>
      </w:r>
      <w:r w:rsidR="00366F3F">
        <w:rPr>
          <w:rFonts w:asciiTheme="minorHAnsi" w:hAnsiTheme="minorHAnsi" w:cstheme="minorHAnsi"/>
          <w:sz w:val="22"/>
          <w:szCs w:val="22"/>
        </w:rPr>
        <w:t xml:space="preserve"> </w:t>
      </w:r>
      <w:r w:rsidRPr="005455CC">
        <w:rPr>
          <w:rFonts w:asciiTheme="minorHAnsi" w:hAnsiTheme="minorHAnsi" w:cstheme="minorHAnsi"/>
          <w:sz w:val="22"/>
          <w:szCs w:val="22"/>
        </w:rPr>
        <w:t>vitro yang  mengambarkan kondisi yang sama dengan keadaan in</w:t>
      </w:r>
      <w:r w:rsidR="006B753C">
        <w:rPr>
          <w:rFonts w:asciiTheme="minorHAnsi" w:hAnsiTheme="minorHAnsi" w:cstheme="minorHAnsi"/>
          <w:sz w:val="22"/>
          <w:szCs w:val="22"/>
        </w:rPr>
        <w:t xml:space="preserve"> </w:t>
      </w:r>
      <w:r w:rsidRPr="005455CC">
        <w:rPr>
          <w:rFonts w:asciiTheme="minorHAnsi" w:hAnsiTheme="minorHAnsi" w:cstheme="minorHAnsi"/>
          <w:sz w:val="22"/>
          <w:szCs w:val="22"/>
        </w:rPr>
        <w:t>vivo tempat yang sebenarnya bakteri tersebut menginfeksi. Dengan demikian ada beberapa faktor yang memegang peranan penting dari  pasien disamping hal-hal yang dapat mempengaruhi hasil uji kepekaan  yang telah diperhitungkan pada metode uji. Faktor tersebut antara lain, yaitu:</w:t>
      </w:r>
    </w:p>
    <w:p w:rsidR="00DD58F9" w:rsidRPr="005455CC" w:rsidRDefault="00FF02AB"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Pr>
          <w:rFonts w:asciiTheme="minorHAnsi" w:hAnsiTheme="minorHAnsi" w:cstheme="minorHAnsi"/>
          <w:sz w:val="22"/>
          <w:szCs w:val="22"/>
        </w:rPr>
        <w:t>Difusi</w:t>
      </w:r>
      <w:r w:rsidR="00DD58F9" w:rsidRPr="005455CC">
        <w:rPr>
          <w:rFonts w:asciiTheme="minorHAnsi" w:hAnsiTheme="minorHAnsi" w:cstheme="minorHAnsi"/>
          <w:sz w:val="22"/>
          <w:szCs w:val="22"/>
        </w:rPr>
        <w:t xml:space="preserve"> antimikroba pada sel dan jaringan  hospes</w:t>
      </w:r>
    </w:p>
    <w:p w:rsidR="00DD58F9"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Protein serum pengikat antimikroba</w:t>
      </w:r>
    </w:p>
    <w:p w:rsidR="00DD58F9"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Gangguan dan interaksi obat</w:t>
      </w:r>
    </w:p>
    <w:p w:rsidR="00DD58F9"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Status daya tahan dan sistem imun pasien</w:t>
      </w:r>
    </w:p>
    <w:p w:rsidR="00DD58F9"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Mengidap beberapa penyakit  secara bersamaan</w:t>
      </w:r>
    </w:p>
    <w:p w:rsidR="00DD58F9"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Virulensi dan patogenitas bakteri yang menginfeksi</w:t>
      </w:r>
    </w:p>
    <w:p w:rsidR="008E755C" w:rsidRPr="005455CC" w:rsidRDefault="00DD58F9" w:rsidP="00FF02AB">
      <w:pPr>
        <w:pStyle w:val="ListParagraph"/>
        <w:numPr>
          <w:ilvl w:val="0"/>
          <w:numId w:val="7"/>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Tempat infeksi dan keparahan penyakit</w:t>
      </w:r>
      <w:r w:rsidR="008E755C" w:rsidRPr="005455CC">
        <w:rPr>
          <w:rFonts w:asciiTheme="minorHAnsi" w:hAnsiTheme="minorHAnsi" w:cstheme="minorHAnsi"/>
          <w:sz w:val="22"/>
          <w:szCs w:val="22"/>
          <w:lang w:val="id-ID"/>
        </w:rPr>
        <w:t>.</w:t>
      </w:r>
      <w:r w:rsidR="008E755C" w:rsidRPr="005455CC">
        <w:rPr>
          <w:rFonts w:asciiTheme="minorHAnsi" w:hAnsiTheme="minorHAnsi" w:cstheme="minorHAnsi"/>
          <w:sz w:val="22"/>
          <w:szCs w:val="22"/>
          <w:vertAlign w:val="superscript"/>
          <w:lang w:val="id-ID"/>
        </w:rPr>
        <w:t>6</w:t>
      </w:r>
    </w:p>
    <w:p w:rsidR="00A24F21" w:rsidRDefault="00A24F21" w:rsidP="007B2E68">
      <w:pPr>
        <w:autoSpaceDE w:val="0"/>
        <w:autoSpaceDN w:val="0"/>
        <w:adjustRightInd w:val="0"/>
        <w:jc w:val="both"/>
        <w:rPr>
          <w:rFonts w:cstheme="minorHAnsi"/>
          <w:lang w:val="en-US"/>
        </w:rPr>
      </w:pPr>
    </w:p>
    <w:p w:rsidR="008E755C" w:rsidRPr="005455CC" w:rsidRDefault="006842BE" w:rsidP="006842BE">
      <w:pPr>
        <w:pStyle w:val="Heading2"/>
        <w:numPr>
          <w:ilvl w:val="0"/>
          <w:numId w:val="0"/>
        </w:numPr>
        <w:spacing w:line="240" w:lineRule="auto"/>
        <w:ind w:left="510" w:hanging="510"/>
        <w:rPr>
          <w:rFonts w:asciiTheme="minorHAnsi" w:hAnsiTheme="minorHAnsi" w:cstheme="minorHAnsi"/>
          <w:sz w:val="22"/>
          <w:szCs w:val="22"/>
        </w:rPr>
      </w:pPr>
      <w:r>
        <w:rPr>
          <w:rFonts w:asciiTheme="minorHAnsi" w:hAnsiTheme="minorHAnsi" w:cstheme="minorHAnsi"/>
          <w:sz w:val="22"/>
          <w:szCs w:val="22"/>
          <w:lang w:val="id-ID"/>
        </w:rPr>
        <w:lastRenderedPageBreak/>
        <w:t>Isi</w:t>
      </w:r>
    </w:p>
    <w:p w:rsidR="008E755C" w:rsidRPr="005455CC" w:rsidRDefault="006842BE" w:rsidP="00366F3F">
      <w:pPr>
        <w:spacing w:after="0" w:line="240" w:lineRule="auto"/>
        <w:ind w:firstLine="567"/>
        <w:jc w:val="both"/>
        <w:rPr>
          <w:rFonts w:cstheme="minorHAnsi"/>
        </w:rPr>
      </w:pPr>
      <w:r>
        <w:rPr>
          <w:rFonts w:cstheme="minorHAnsi"/>
        </w:rPr>
        <w:t>Terdapat beberapa</w:t>
      </w:r>
      <w:r w:rsidR="008E755C" w:rsidRPr="005455CC">
        <w:rPr>
          <w:rFonts w:cstheme="minorHAnsi"/>
        </w:rPr>
        <w:t xml:space="preserve"> prinsip dasar pemeriksaan uji kepekaan terhadap antimikroba</w:t>
      </w:r>
      <w:r w:rsidR="00366F3F">
        <w:rPr>
          <w:rFonts w:cstheme="minorHAnsi"/>
          <w:lang w:val="en-US"/>
        </w:rPr>
        <w:t>,</w:t>
      </w:r>
      <w:r w:rsidR="00366F3F">
        <w:rPr>
          <w:rFonts w:cstheme="minorHAnsi"/>
        </w:rPr>
        <w:t xml:space="preserve"> antara lain</w:t>
      </w:r>
      <w:r w:rsidR="008E755C" w:rsidRPr="005455CC">
        <w:rPr>
          <w:rFonts w:cstheme="minorHAnsi"/>
        </w:rPr>
        <w:t>:</w:t>
      </w:r>
      <w:r w:rsidR="008E755C" w:rsidRPr="005455CC">
        <w:rPr>
          <w:rFonts w:cstheme="minorHAnsi"/>
          <w:vertAlign w:val="superscript"/>
        </w:rPr>
        <w:t>2</w:t>
      </w:r>
    </w:p>
    <w:p w:rsidR="008E755C" w:rsidRPr="005455CC" w:rsidRDefault="008E755C" w:rsidP="007B2E68">
      <w:pPr>
        <w:pStyle w:val="ListParagraph"/>
        <w:numPr>
          <w:ilvl w:val="0"/>
          <w:numId w:val="9"/>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 xml:space="preserve">Merupakan metode yang langsung mengukur </w:t>
      </w:r>
      <w:r w:rsidR="00366F3F">
        <w:rPr>
          <w:rFonts w:asciiTheme="minorHAnsi" w:hAnsiTheme="minorHAnsi" w:cstheme="minorHAnsi"/>
          <w:sz w:val="22"/>
          <w:szCs w:val="22"/>
        </w:rPr>
        <w:t>aktivitas</w:t>
      </w:r>
      <w:r w:rsidRPr="005455CC">
        <w:rPr>
          <w:rFonts w:asciiTheme="minorHAnsi" w:hAnsiTheme="minorHAnsi" w:cstheme="minorHAnsi"/>
          <w:sz w:val="22"/>
          <w:szCs w:val="22"/>
        </w:rPr>
        <w:t xml:space="preserve"> satu atau lebih antimikroba  terhadap inokulum bakteri</w:t>
      </w:r>
      <w:r w:rsidR="007B2E68">
        <w:rPr>
          <w:rFonts w:asciiTheme="minorHAnsi" w:hAnsiTheme="minorHAnsi" w:cstheme="minorHAnsi"/>
          <w:sz w:val="22"/>
          <w:szCs w:val="22"/>
        </w:rPr>
        <w:t>.</w:t>
      </w:r>
    </w:p>
    <w:p w:rsidR="001F0BB0" w:rsidRPr="001F0BB0" w:rsidRDefault="008E755C" w:rsidP="00CC4890">
      <w:pPr>
        <w:pStyle w:val="ListParagraph"/>
        <w:numPr>
          <w:ilvl w:val="0"/>
          <w:numId w:val="9"/>
        </w:numPr>
        <w:autoSpaceDE w:val="0"/>
        <w:autoSpaceDN w:val="0"/>
        <w:adjustRightInd w:val="0"/>
        <w:ind w:left="426" w:hanging="284"/>
        <w:jc w:val="both"/>
        <w:rPr>
          <w:rFonts w:asciiTheme="minorHAnsi" w:hAnsiTheme="minorHAnsi" w:cstheme="minorHAnsi"/>
          <w:sz w:val="22"/>
          <w:szCs w:val="22"/>
        </w:rPr>
      </w:pPr>
      <w:r w:rsidRPr="005455CC">
        <w:rPr>
          <w:rFonts w:asciiTheme="minorHAnsi" w:hAnsiTheme="minorHAnsi" w:cstheme="minorHAnsi"/>
          <w:sz w:val="22"/>
          <w:szCs w:val="22"/>
        </w:rPr>
        <w:t>Merupakan metode yang secara langsung</w:t>
      </w:r>
      <w:r w:rsidRPr="005455CC">
        <w:rPr>
          <w:rFonts w:asciiTheme="minorHAnsi" w:hAnsiTheme="minorHAnsi" w:cstheme="minorHAnsi"/>
          <w:sz w:val="22"/>
          <w:szCs w:val="22"/>
          <w:lang w:val="id-ID"/>
        </w:rPr>
        <w:t xml:space="preserve"> </w:t>
      </w:r>
      <w:r w:rsidRPr="005455CC">
        <w:rPr>
          <w:rFonts w:asciiTheme="minorHAnsi" w:hAnsiTheme="minorHAnsi" w:cstheme="minorHAnsi"/>
          <w:sz w:val="22"/>
          <w:szCs w:val="22"/>
        </w:rPr>
        <w:t>mendeteksi</w:t>
      </w:r>
      <w:r w:rsidRPr="005455CC">
        <w:rPr>
          <w:rFonts w:asciiTheme="minorHAnsi" w:hAnsiTheme="minorHAnsi" w:cstheme="minorHAnsi"/>
          <w:sz w:val="22"/>
          <w:szCs w:val="22"/>
          <w:lang w:val="id-ID"/>
        </w:rPr>
        <w:t xml:space="preserve"> </w:t>
      </w:r>
      <w:r w:rsidRPr="005455CC">
        <w:rPr>
          <w:rFonts w:asciiTheme="minorHAnsi" w:hAnsiTheme="minorHAnsi" w:cstheme="minorHAnsi"/>
          <w:sz w:val="22"/>
          <w:szCs w:val="22"/>
        </w:rPr>
        <w:t>keberadaan mekanisme resitensi spesifik pada inokulum bakteri</w:t>
      </w:r>
      <w:r w:rsidRPr="005455CC">
        <w:rPr>
          <w:rFonts w:asciiTheme="minorHAnsi" w:hAnsiTheme="minorHAnsi" w:cstheme="minorHAnsi"/>
          <w:sz w:val="22"/>
          <w:szCs w:val="22"/>
          <w:lang w:val="id-ID"/>
        </w:rPr>
        <w:t>.</w:t>
      </w:r>
    </w:p>
    <w:p w:rsidR="00CC4890" w:rsidRPr="001F0BB0" w:rsidRDefault="008E755C" w:rsidP="00CC4890">
      <w:pPr>
        <w:pStyle w:val="ListParagraph"/>
        <w:numPr>
          <w:ilvl w:val="0"/>
          <w:numId w:val="9"/>
        </w:numPr>
        <w:autoSpaceDE w:val="0"/>
        <w:autoSpaceDN w:val="0"/>
        <w:adjustRightInd w:val="0"/>
        <w:ind w:left="426" w:hanging="284"/>
        <w:jc w:val="both"/>
        <w:rPr>
          <w:rFonts w:asciiTheme="minorHAnsi" w:hAnsiTheme="minorHAnsi" w:cstheme="minorHAnsi"/>
          <w:sz w:val="22"/>
          <w:szCs w:val="22"/>
        </w:rPr>
      </w:pPr>
      <w:commentRangeStart w:id="0"/>
      <w:r w:rsidRPr="001F0BB0">
        <w:rPr>
          <w:rFonts w:asciiTheme="minorHAnsi" w:hAnsiTheme="minorHAnsi" w:cstheme="minorHAnsi"/>
          <w:color w:val="FFFFFF" w:themeColor="background1"/>
          <w:sz w:val="22"/>
          <w:szCs w:val="22"/>
        </w:rPr>
        <w:t>Merupakan metode khusus untuk mengukur interaksi antara mikroba dan antimikroba</w:t>
      </w:r>
      <w:commentRangeEnd w:id="0"/>
      <w:r w:rsidR="00FF77F7" w:rsidRPr="001F0BB0">
        <w:rPr>
          <w:rStyle w:val="CommentReference"/>
          <w:rFonts w:asciiTheme="minorHAnsi" w:hAnsiTheme="minorHAnsi" w:cstheme="minorHAnsi"/>
          <w:color w:val="FFFFFF" w:themeColor="background1"/>
          <w:sz w:val="22"/>
          <w:szCs w:val="22"/>
        </w:rPr>
        <w:commentReference w:id="0"/>
      </w:r>
      <w:r w:rsidRPr="001F0BB0">
        <w:rPr>
          <w:rFonts w:cstheme="minorHAnsi"/>
        </w:rPr>
        <w:t>.</w:t>
      </w:r>
      <w:r w:rsidR="008C534A" w:rsidRPr="001F0BB0">
        <w:rPr>
          <w:rFonts w:cstheme="minorHAnsi"/>
          <w:vertAlign w:val="superscript"/>
        </w:rPr>
        <w:t>7</w:t>
      </w:r>
    </w:p>
    <w:p w:rsidR="00F932C4" w:rsidRPr="00CC4890" w:rsidRDefault="00CC4890" w:rsidP="00366F3F">
      <w:pPr>
        <w:autoSpaceDE w:val="0"/>
        <w:autoSpaceDN w:val="0"/>
        <w:adjustRightInd w:val="0"/>
        <w:spacing w:after="0" w:line="240" w:lineRule="auto"/>
        <w:ind w:firstLine="567"/>
        <w:jc w:val="both"/>
        <w:rPr>
          <w:rFonts w:cstheme="minorHAnsi"/>
          <w:lang w:val="en-US"/>
        </w:rPr>
      </w:pPr>
      <w:r>
        <w:rPr>
          <w:rFonts w:cstheme="minorHAnsi"/>
        </w:rPr>
        <w:t>K</w:t>
      </w:r>
      <w:r w:rsidR="00F932C4" w:rsidRPr="005455CC">
        <w:rPr>
          <w:rFonts w:cstheme="minorHAnsi"/>
        </w:rPr>
        <w:t>emampuan antimikroba dalam melawan bakteri dapat diukur menggunakan metode yang biasa dilakukan</w:t>
      </w:r>
      <w:r w:rsidR="00366F3F">
        <w:rPr>
          <w:rFonts w:cstheme="minorHAnsi"/>
          <w:lang w:val="en-US"/>
        </w:rPr>
        <w:t>,</w:t>
      </w:r>
      <w:r w:rsidR="00366F3F">
        <w:rPr>
          <w:rFonts w:cstheme="minorHAnsi"/>
        </w:rPr>
        <w:t xml:space="preserve"> yaitu</w:t>
      </w:r>
      <w:r w:rsidR="00F932C4" w:rsidRPr="005455CC">
        <w:rPr>
          <w:rFonts w:cstheme="minorHAnsi"/>
        </w:rPr>
        <w:t>:</w:t>
      </w:r>
    </w:p>
    <w:p w:rsidR="00F932C4" w:rsidRPr="005455CC" w:rsidRDefault="00F932C4" w:rsidP="005455CC">
      <w:pPr>
        <w:pStyle w:val="ListParagraph"/>
        <w:numPr>
          <w:ilvl w:val="0"/>
          <w:numId w:val="15"/>
        </w:numPr>
        <w:autoSpaceDE w:val="0"/>
        <w:autoSpaceDN w:val="0"/>
        <w:adjustRightInd w:val="0"/>
        <w:ind w:left="284" w:hanging="284"/>
        <w:jc w:val="both"/>
        <w:rPr>
          <w:rFonts w:asciiTheme="minorHAnsi" w:hAnsiTheme="minorHAnsi" w:cstheme="minorHAnsi"/>
          <w:sz w:val="22"/>
          <w:szCs w:val="22"/>
        </w:rPr>
      </w:pPr>
      <w:r w:rsidRPr="005455CC">
        <w:rPr>
          <w:rFonts w:asciiTheme="minorHAnsi" w:hAnsiTheme="minorHAnsi" w:cstheme="minorHAnsi"/>
          <w:sz w:val="22"/>
          <w:szCs w:val="22"/>
        </w:rPr>
        <w:t xml:space="preserve">Metode </w:t>
      </w:r>
      <w:r w:rsidR="00FF77F7">
        <w:rPr>
          <w:rFonts w:asciiTheme="minorHAnsi" w:hAnsiTheme="minorHAnsi" w:cstheme="minorHAnsi"/>
          <w:sz w:val="22"/>
          <w:szCs w:val="22"/>
        </w:rPr>
        <w:t>D</w:t>
      </w:r>
      <w:r w:rsidRPr="005455CC">
        <w:rPr>
          <w:rFonts w:asciiTheme="minorHAnsi" w:hAnsiTheme="minorHAnsi" w:cstheme="minorHAnsi"/>
          <w:sz w:val="22"/>
          <w:szCs w:val="22"/>
        </w:rPr>
        <w:t>ilusi</w:t>
      </w:r>
    </w:p>
    <w:p w:rsidR="00F932C4" w:rsidRPr="005455CC" w:rsidRDefault="00F932C4" w:rsidP="005455CC">
      <w:pPr>
        <w:pStyle w:val="ListParagraph"/>
        <w:autoSpaceDE w:val="0"/>
        <w:autoSpaceDN w:val="0"/>
        <w:adjustRightInd w:val="0"/>
        <w:ind w:left="0" w:firstLine="567"/>
        <w:jc w:val="both"/>
        <w:rPr>
          <w:rFonts w:asciiTheme="minorHAnsi" w:hAnsiTheme="minorHAnsi" w:cstheme="minorHAnsi"/>
          <w:sz w:val="22"/>
          <w:szCs w:val="22"/>
          <w:lang w:val="id-ID"/>
        </w:rPr>
      </w:pPr>
      <w:r w:rsidRPr="005455CC">
        <w:rPr>
          <w:rFonts w:asciiTheme="minorHAnsi" w:hAnsiTheme="minorHAnsi" w:cstheme="minorHAnsi"/>
          <w:sz w:val="22"/>
          <w:szCs w:val="22"/>
        </w:rPr>
        <w:t>Metode dilusi terdiri dari dua teknik pengerjaan</w:t>
      </w:r>
      <w:r w:rsidR="00366F3F">
        <w:rPr>
          <w:rFonts w:asciiTheme="minorHAnsi" w:hAnsiTheme="minorHAnsi" w:cstheme="minorHAnsi"/>
          <w:sz w:val="22"/>
          <w:szCs w:val="22"/>
        </w:rPr>
        <w:t>,</w:t>
      </w:r>
      <w:r w:rsidRPr="005455CC">
        <w:rPr>
          <w:rFonts w:asciiTheme="minorHAnsi" w:hAnsiTheme="minorHAnsi" w:cstheme="minorHAnsi"/>
          <w:sz w:val="22"/>
          <w:szCs w:val="22"/>
        </w:rPr>
        <w:t xml:space="preserve"> yaitu teknik dilusi perbenih</w:t>
      </w:r>
      <w:r w:rsidR="008C534A" w:rsidRPr="005455CC">
        <w:rPr>
          <w:rFonts w:asciiTheme="minorHAnsi" w:hAnsiTheme="minorHAnsi" w:cstheme="minorHAnsi"/>
          <w:sz w:val="22"/>
          <w:szCs w:val="22"/>
        </w:rPr>
        <w:t>an cair dan teknik dilusi agar</w:t>
      </w:r>
      <w:r w:rsidR="008C534A" w:rsidRPr="005455CC">
        <w:rPr>
          <w:rFonts w:asciiTheme="minorHAnsi" w:hAnsiTheme="minorHAnsi" w:cstheme="minorHAnsi"/>
          <w:sz w:val="22"/>
          <w:szCs w:val="22"/>
          <w:lang w:val="id-ID"/>
        </w:rPr>
        <w:t xml:space="preserve"> yang </w:t>
      </w:r>
      <w:r w:rsidRPr="005455CC">
        <w:rPr>
          <w:rFonts w:asciiTheme="minorHAnsi" w:hAnsiTheme="minorHAnsi" w:cstheme="minorHAnsi"/>
          <w:sz w:val="22"/>
          <w:szCs w:val="22"/>
        </w:rPr>
        <w:t xml:space="preserve">bertujuan untuk penentuan </w:t>
      </w:r>
      <w:r w:rsidR="00366F3F">
        <w:rPr>
          <w:rFonts w:asciiTheme="minorHAnsi" w:hAnsiTheme="minorHAnsi" w:cstheme="minorHAnsi"/>
          <w:sz w:val="22"/>
          <w:szCs w:val="22"/>
        </w:rPr>
        <w:t>aktivitas</w:t>
      </w:r>
      <w:r w:rsidRPr="005455CC">
        <w:rPr>
          <w:rFonts w:asciiTheme="minorHAnsi" w:hAnsiTheme="minorHAnsi" w:cstheme="minorHAnsi"/>
          <w:sz w:val="22"/>
          <w:szCs w:val="22"/>
        </w:rPr>
        <w:t xml:space="preserve"> antimikroba secara kuantitatif, antimikroba dilarutkan kedalam media agar atau kaldu, yang kemudian  ditanami  bakteri yang akan dites. Setelah diinkubasi semalam, konsentrasi terendah yang dapat me</w:t>
      </w:r>
      <w:r w:rsidR="00366F3F">
        <w:rPr>
          <w:rFonts w:asciiTheme="minorHAnsi" w:hAnsiTheme="minorHAnsi" w:cstheme="minorHAnsi"/>
          <w:sz w:val="22"/>
          <w:szCs w:val="22"/>
        </w:rPr>
        <w:t>nghambat pertumbuhan bakteri di</w:t>
      </w:r>
      <w:r w:rsidRPr="005455CC">
        <w:rPr>
          <w:rFonts w:asciiTheme="minorHAnsi" w:hAnsiTheme="minorHAnsi" w:cstheme="minorHAnsi"/>
          <w:sz w:val="22"/>
          <w:szCs w:val="22"/>
        </w:rPr>
        <w:t>sebut dengan MIC (</w:t>
      </w:r>
      <w:r w:rsidRPr="005455CC">
        <w:rPr>
          <w:rFonts w:asciiTheme="minorHAnsi" w:hAnsiTheme="minorHAnsi" w:cstheme="minorHAnsi"/>
          <w:i/>
          <w:sz w:val="22"/>
          <w:szCs w:val="22"/>
        </w:rPr>
        <w:t>minimal inhibitory concentration</w:t>
      </w:r>
      <w:r w:rsidRPr="005455CC">
        <w:rPr>
          <w:rFonts w:asciiTheme="minorHAnsi" w:hAnsiTheme="minorHAnsi" w:cstheme="minorHAnsi"/>
          <w:sz w:val="22"/>
          <w:szCs w:val="22"/>
        </w:rPr>
        <w:t>). Nilai MIC dapat pula dibandingkan dengan  konsentrasi  obat yang didapat di serum dan cairan tubuh lainnya untuk mendapatkan perkiraan  respon klinik.</w:t>
      </w:r>
      <w:r w:rsidR="008C534A" w:rsidRPr="005455CC">
        <w:rPr>
          <w:rFonts w:asciiTheme="minorHAnsi" w:hAnsiTheme="minorHAnsi" w:cstheme="minorHAnsi"/>
          <w:sz w:val="22"/>
          <w:szCs w:val="22"/>
          <w:vertAlign w:val="superscript"/>
          <w:lang w:val="id-ID"/>
        </w:rPr>
        <w:t>2,7</w:t>
      </w:r>
    </w:p>
    <w:p w:rsidR="00F932C4" w:rsidRPr="00366F3F" w:rsidRDefault="00F932C4" w:rsidP="00366F3F">
      <w:pPr>
        <w:pStyle w:val="ListParagraph"/>
        <w:numPr>
          <w:ilvl w:val="0"/>
          <w:numId w:val="22"/>
        </w:numPr>
        <w:autoSpaceDE w:val="0"/>
        <w:autoSpaceDN w:val="0"/>
        <w:adjustRightInd w:val="0"/>
        <w:ind w:left="284" w:hanging="284"/>
        <w:jc w:val="both"/>
        <w:rPr>
          <w:rFonts w:asciiTheme="minorHAnsi" w:hAnsiTheme="minorHAnsi" w:cstheme="minorHAnsi"/>
          <w:sz w:val="22"/>
          <w:szCs w:val="22"/>
        </w:rPr>
      </w:pPr>
      <w:r w:rsidRPr="00366F3F">
        <w:rPr>
          <w:rFonts w:asciiTheme="minorHAnsi" w:hAnsiTheme="minorHAnsi" w:cstheme="minorHAnsi"/>
          <w:sz w:val="22"/>
          <w:szCs w:val="22"/>
        </w:rPr>
        <w:t>Dilusi perbenihan cair</w:t>
      </w:r>
    </w:p>
    <w:p w:rsidR="00F932C4" w:rsidRPr="005455CC" w:rsidRDefault="00F932C4" w:rsidP="00366F3F">
      <w:pPr>
        <w:pStyle w:val="ListParagraph"/>
        <w:tabs>
          <w:tab w:val="left" w:pos="360"/>
          <w:tab w:val="left" w:pos="540"/>
        </w:tabs>
        <w:autoSpaceDE w:val="0"/>
        <w:autoSpaceDN w:val="0"/>
        <w:adjustRightInd w:val="0"/>
        <w:ind w:left="0" w:firstLine="567"/>
        <w:jc w:val="both"/>
        <w:rPr>
          <w:rFonts w:asciiTheme="minorHAnsi" w:hAnsiTheme="minorHAnsi" w:cstheme="minorHAnsi"/>
          <w:sz w:val="22"/>
          <w:szCs w:val="22"/>
          <w:lang w:val="id-ID"/>
        </w:rPr>
      </w:pPr>
      <w:r w:rsidRPr="005455CC">
        <w:rPr>
          <w:rFonts w:asciiTheme="minorHAnsi" w:hAnsiTheme="minorHAnsi" w:cstheme="minorHAnsi"/>
          <w:sz w:val="22"/>
          <w:szCs w:val="22"/>
        </w:rPr>
        <w:t>Dilusi perbenihan cair terdiri dari makrodilusi dan mikrodilusi. Pada prinsipnya pengerjaannya sama hanya berbeda dalam volume. Untuk makrodilusi volume yang digunakan lebih  dari 1 ml, sedangkan mikrodilusi volume yang digunakan 0,05 ml sampai 0,1 ml. Antimikroba yang digunakan disediakan pada berbagai macam pengenceran biasanya dalam satuan µg/ml, konsentrasi bervariasi tergantung jenis dan sifat antib</w:t>
      </w:r>
      <w:r w:rsidR="00366F3F">
        <w:rPr>
          <w:rFonts w:asciiTheme="minorHAnsi" w:hAnsiTheme="minorHAnsi" w:cstheme="minorHAnsi"/>
          <w:sz w:val="22"/>
          <w:szCs w:val="22"/>
        </w:rPr>
        <w:t>iotik, misalnya sefotaksim</w:t>
      </w:r>
      <w:r w:rsidRPr="005455CC">
        <w:rPr>
          <w:rFonts w:asciiTheme="minorHAnsi" w:hAnsiTheme="minorHAnsi" w:cstheme="minorHAnsi"/>
          <w:sz w:val="22"/>
          <w:szCs w:val="22"/>
        </w:rPr>
        <w:t xml:space="preserve"> untuk uji kepekaan terhadap </w:t>
      </w:r>
      <w:r w:rsidRPr="005455CC">
        <w:rPr>
          <w:rFonts w:asciiTheme="minorHAnsi" w:hAnsiTheme="minorHAnsi" w:cstheme="minorHAnsi"/>
          <w:i/>
          <w:sz w:val="22"/>
          <w:szCs w:val="22"/>
        </w:rPr>
        <w:t>Streptococcus pneumonia</w:t>
      </w:r>
      <w:r w:rsidRPr="005455CC">
        <w:rPr>
          <w:rFonts w:asciiTheme="minorHAnsi" w:hAnsiTheme="minorHAnsi" w:cstheme="minorHAnsi"/>
          <w:sz w:val="22"/>
          <w:szCs w:val="22"/>
        </w:rPr>
        <w:t xml:space="preserve">, pengenceran tidak melebihi 2 μg/ml, sedangkan untuk </w:t>
      </w:r>
      <w:r w:rsidRPr="005455CC">
        <w:rPr>
          <w:rFonts w:asciiTheme="minorHAnsi" w:hAnsiTheme="minorHAnsi" w:cstheme="minorHAnsi"/>
          <w:i/>
          <w:sz w:val="22"/>
          <w:szCs w:val="22"/>
        </w:rPr>
        <w:t>Escherichia coli</w:t>
      </w:r>
      <w:r w:rsidRPr="005455CC">
        <w:rPr>
          <w:rFonts w:asciiTheme="minorHAnsi" w:hAnsiTheme="minorHAnsi" w:cstheme="minorHAnsi"/>
          <w:sz w:val="22"/>
          <w:szCs w:val="22"/>
        </w:rPr>
        <w:t xml:space="preserve">   pengenceran dilakukan pada 16 µg/ml  atau lebih.</w:t>
      </w:r>
      <w:r w:rsidR="008C534A" w:rsidRPr="005455CC">
        <w:rPr>
          <w:rFonts w:asciiTheme="minorHAnsi" w:hAnsiTheme="minorHAnsi" w:cstheme="minorHAnsi"/>
          <w:sz w:val="22"/>
          <w:szCs w:val="22"/>
          <w:vertAlign w:val="superscript"/>
          <w:lang w:val="id-ID"/>
        </w:rPr>
        <w:t>8</w:t>
      </w:r>
    </w:p>
    <w:p w:rsidR="00F932C4" w:rsidRPr="008C534A" w:rsidRDefault="00F932C4" w:rsidP="005455CC">
      <w:pPr>
        <w:pStyle w:val="ListParagraph"/>
        <w:tabs>
          <w:tab w:val="left" w:pos="360"/>
        </w:tabs>
        <w:autoSpaceDE w:val="0"/>
        <w:autoSpaceDN w:val="0"/>
        <w:adjustRightInd w:val="0"/>
        <w:jc w:val="both"/>
        <w:rPr>
          <w:rFonts w:asciiTheme="minorHAnsi" w:hAnsiTheme="minorHAnsi" w:cstheme="minorHAnsi"/>
          <w:i/>
        </w:rPr>
      </w:pPr>
      <w:r w:rsidRPr="008C534A">
        <w:rPr>
          <w:rFonts w:asciiTheme="minorHAnsi" w:hAnsiTheme="minorHAnsi" w:cstheme="minorHAnsi"/>
        </w:rPr>
        <w:tab/>
      </w:r>
    </w:p>
    <w:p w:rsidR="00F932C4" w:rsidRPr="008C534A" w:rsidRDefault="00F932C4" w:rsidP="005455CC">
      <w:pPr>
        <w:pStyle w:val="ListParagraph"/>
        <w:tabs>
          <w:tab w:val="left" w:pos="360"/>
        </w:tabs>
        <w:autoSpaceDE w:val="0"/>
        <w:autoSpaceDN w:val="0"/>
        <w:adjustRightInd w:val="0"/>
        <w:ind w:left="0"/>
        <w:jc w:val="center"/>
        <w:rPr>
          <w:rFonts w:asciiTheme="minorHAnsi" w:hAnsiTheme="minorHAnsi" w:cstheme="minorHAnsi"/>
          <w:i/>
        </w:rPr>
      </w:pPr>
      <w:r w:rsidRPr="008C534A">
        <w:rPr>
          <w:rFonts w:asciiTheme="minorHAnsi" w:hAnsiTheme="minorHAnsi" w:cstheme="minorHAnsi"/>
          <w:i/>
          <w:noProof/>
          <w:lang w:val="id-ID" w:eastAsia="id-ID"/>
        </w:rPr>
        <w:lastRenderedPageBreak/>
        <w:drawing>
          <wp:inline distT="0" distB="0" distL="0" distR="0">
            <wp:extent cx="2377532" cy="2177891"/>
            <wp:effectExtent l="19050" t="0" r="3718"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78829" cy="2179079"/>
                    </a:xfrm>
                    <a:prstGeom prst="rect">
                      <a:avLst/>
                    </a:prstGeom>
                    <a:noFill/>
                    <a:ln w="9525">
                      <a:noFill/>
                      <a:miter lim="800000"/>
                      <a:headEnd/>
                      <a:tailEnd/>
                    </a:ln>
                  </pic:spPr>
                </pic:pic>
              </a:graphicData>
            </a:graphic>
          </wp:inline>
        </w:drawing>
      </w:r>
    </w:p>
    <w:p w:rsidR="00643BD2" w:rsidRDefault="00643BD2" w:rsidP="005455CC">
      <w:pPr>
        <w:pStyle w:val="NoSpacing"/>
        <w:rPr>
          <w:rFonts w:asciiTheme="minorHAnsi" w:hAnsiTheme="minorHAnsi" w:cstheme="minorHAnsi"/>
          <w:b/>
          <w:sz w:val="20"/>
          <w:szCs w:val="20"/>
        </w:rPr>
      </w:pPr>
    </w:p>
    <w:p w:rsidR="00F932C4" w:rsidRPr="00566618" w:rsidRDefault="00F932C4" w:rsidP="005455CC">
      <w:pPr>
        <w:pStyle w:val="NoSpacing"/>
        <w:rPr>
          <w:rFonts w:asciiTheme="minorHAnsi" w:hAnsiTheme="minorHAnsi" w:cstheme="minorHAnsi"/>
          <w:b/>
          <w:sz w:val="20"/>
          <w:szCs w:val="20"/>
          <w:lang w:val="id-ID"/>
        </w:rPr>
      </w:pPr>
      <w:r w:rsidRPr="00366F3F">
        <w:rPr>
          <w:rFonts w:asciiTheme="minorHAnsi" w:hAnsiTheme="minorHAnsi" w:cstheme="minorHAnsi"/>
          <w:b/>
          <w:sz w:val="20"/>
          <w:szCs w:val="20"/>
        </w:rPr>
        <w:t xml:space="preserve">Gambar </w:t>
      </w:r>
      <w:r w:rsidR="008C534A" w:rsidRPr="00366F3F">
        <w:rPr>
          <w:rFonts w:asciiTheme="minorHAnsi" w:hAnsiTheme="minorHAnsi" w:cstheme="minorHAnsi"/>
          <w:b/>
          <w:sz w:val="20"/>
          <w:szCs w:val="20"/>
          <w:lang w:val="id-ID"/>
        </w:rPr>
        <w:t>1</w:t>
      </w:r>
      <w:r w:rsidRPr="00366F3F">
        <w:rPr>
          <w:rFonts w:asciiTheme="minorHAnsi" w:hAnsiTheme="minorHAnsi" w:cstheme="minorHAnsi"/>
          <w:b/>
          <w:sz w:val="20"/>
          <w:szCs w:val="20"/>
        </w:rPr>
        <w:t>. Penentuan MIC metode perbenihan cair</w:t>
      </w:r>
      <w:r w:rsidR="00566618" w:rsidRPr="00566618">
        <w:rPr>
          <w:rFonts w:asciiTheme="minorHAnsi" w:hAnsiTheme="minorHAnsi" w:cstheme="minorHAnsi"/>
          <w:b/>
          <w:sz w:val="20"/>
          <w:szCs w:val="20"/>
          <w:vertAlign w:val="superscript"/>
          <w:lang w:val="id-ID"/>
        </w:rPr>
        <w:t>9</w:t>
      </w:r>
    </w:p>
    <w:p w:rsidR="00F932C4" w:rsidRPr="008C534A" w:rsidRDefault="00F932C4" w:rsidP="005455CC">
      <w:pPr>
        <w:pStyle w:val="NoSpacing"/>
        <w:rPr>
          <w:rFonts w:asciiTheme="minorHAnsi" w:hAnsiTheme="minorHAnsi" w:cstheme="minorHAnsi"/>
          <w:szCs w:val="22"/>
        </w:rPr>
      </w:pPr>
      <w:r w:rsidRPr="008C534A">
        <w:rPr>
          <w:rFonts w:asciiTheme="minorHAnsi" w:hAnsiTheme="minorHAnsi" w:cstheme="minorHAnsi"/>
          <w:szCs w:val="22"/>
        </w:rPr>
        <w:t> </w:t>
      </w:r>
    </w:p>
    <w:p w:rsidR="00F932C4" w:rsidRPr="00366F3F" w:rsidRDefault="00F932C4" w:rsidP="00153ED3">
      <w:pPr>
        <w:autoSpaceDE w:val="0"/>
        <w:autoSpaceDN w:val="0"/>
        <w:adjustRightInd w:val="0"/>
        <w:spacing w:after="0" w:line="240" w:lineRule="auto"/>
        <w:ind w:firstLine="720"/>
        <w:jc w:val="both"/>
        <w:rPr>
          <w:rFonts w:cstheme="minorHAnsi"/>
          <w:vertAlign w:val="superscript"/>
        </w:rPr>
      </w:pPr>
      <w:r w:rsidRPr="00366F3F">
        <w:rPr>
          <w:rFonts w:cstheme="minorHAnsi"/>
        </w:rPr>
        <w:t>Secara umum untuk penentuan MIC</w:t>
      </w:r>
      <w:r w:rsidR="00366F3F">
        <w:rPr>
          <w:rFonts w:cstheme="minorHAnsi"/>
          <w:lang w:val="en-US"/>
        </w:rPr>
        <w:t>,</w:t>
      </w:r>
      <w:r w:rsidRPr="00366F3F">
        <w:rPr>
          <w:rFonts w:cstheme="minorHAnsi"/>
        </w:rPr>
        <w:t xml:space="preserve"> pengenceran antimikroba dilakukan penurunan konsentrasi setengahnya misalnya mulai dari 16, 8, 4, 2, 1, 0,5, 0,25 µg/ml konsentrasi terendah yang menunjukkan  hambatan  pertumbuhan dengan jelas baik dilihat secara visual atau alat semiotomat</w:t>
      </w:r>
      <w:r w:rsidR="008C534A" w:rsidRPr="00366F3F">
        <w:rPr>
          <w:rFonts w:cstheme="minorHAnsi"/>
        </w:rPr>
        <w:t>i</w:t>
      </w:r>
      <w:r w:rsidRPr="00366F3F">
        <w:rPr>
          <w:rFonts w:cstheme="minorHAnsi"/>
        </w:rPr>
        <w:t>s dan otomatis, disebut dengan k</w:t>
      </w:r>
      <w:r w:rsidR="00366F3F">
        <w:rPr>
          <w:rFonts w:cstheme="minorHAnsi"/>
        </w:rPr>
        <w:t>onsentrasi daya hambat minimum/</w:t>
      </w:r>
      <w:r w:rsidRPr="00366F3F">
        <w:rPr>
          <w:rFonts w:cstheme="minorHAnsi"/>
        </w:rPr>
        <w:t>MIC (</w:t>
      </w:r>
      <w:r w:rsidRPr="00366F3F">
        <w:rPr>
          <w:rFonts w:cstheme="minorHAnsi"/>
          <w:i/>
        </w:rPr>
        <w:t>minimal inhibitory concentration).</w:t>
      </w:r>
      <w:r w:rsidR="008C534A" w:rsidRPr="00366F3F">
        <w:rPr>
          <w:rFonts w:cstheme="minorHAnsi"/>
          <w:vertAlign w:val="superscript"/>
        </w:rPr>
        <w:t>2,8</w:t>
      </w:r>
    </w:p>
    <w:p w:rsidR="00F932C4" w:rsidRPr="00366F3F" w:rsidRDefault="00F932C4" w:rsidP="00366F3F">
      <w:pPr>
        <w:pStyle w:val="ListParagraph"/>
        <w:numPr>
          <w:ilvl w:val="0"/>
          <w:numId w:val="22"/>
        </w:numPr>
        <w:autoSpaceDE w:val="0"/>
        <w:autoSpaceDN w:val="0"/>
        <w:adjustRightInd w:val="0"/>
        <w:ind w:left="284" w:hanging="284"/>
        <w:jc w:val="both"/>
        <w:rPr>
          <w:rFonts w:asciiTheme="minorHAnsi" w:hAnsiTheme="minorHAnsi" w:cstheme="minorHAnsi"/>
          <w:sz w:val="22"/>
          <w:szCs w:val="22"/>
        </w:rPr>
      </w:pPr>
      <w:r w:rsidRPr="00366F3F">
        <w:rPr>
          <w:rFonts w:asciiTheme="minorHAnsi" w:hAnsiTheme="minorHAnsi" w:cstheme="minorHAnsi"/>
          <w:sz w:val="22"/>
          <w:szCs w:val="22"/>
        </w:rPr>
        <w:t>Dilusi agar</w:t>
      </w:r>
    </w:p>
    <w:p w:rsidR="00F932C4" w:rsidRPr="00366F3F" w:rsidRDefault="00F932C4" w:rsidP="00366F3F">
      <w:pPr>
        <w:autoSpaceDE w:val="0"/>
        <w:autoSpaceDN w:val="0"/>
        <w:adjustRightInd w:val="0"/>
        <w:spacing w:after="0" w:line="240" w:lineRule="auto"/>
        <w:ind w:firstLine="567"/>
        <w:jc w:val="both"/>
        <w:rPr>
          <w:rFonts w:cstheme="minorHAnsi"/>
          <w:vertAlign w:val="superscript"/>
        </w:rPr>
      </w:pPr>
      <w:r w:rsidRPr="00366F3F">
        <w:rPr>
          <w:rFonts w:cstheme="minorHAnsi"/>
        </w:rPr>
        <w:t>Pada teknik dilusi agar, antibiotik sesuai dengan pengenceran akan ditambahkan ke</w:t>
      </w:r>
      <w:r w:rsidR="00366F3F">
        <w:rPr>
          <w:rFonts w:cstheme="minorHAnsi"/>
          <w:lang w:val="en-US"/>
        </w:rPr>
        <w:t xml:space="preserve"> </w:t>
      </w:r>
      <w:r w:rsidRPr="00366F3F">
        <w:rPr>
          <w:rFonts w:cstheme="minorHAnsi"/>
        </w:rPr>
        <w:t>dalam agar, sehingga akan memerlukan perbenihan agar sesuai jumlah pengenceran  ditambah satu perbenihan agar untuk kontrol tanpa penambahan antibiotik, konsentrasi terendah antibiotik yang mampu menghambat pertumbuhan bakteri m</w:t>
      </w:r>
      <w:r w:rsidR="00FF77F7">
        <w:rPr>
          <w:rFonts w:cstheme="minorHAnsi"/>
        </w:rPr>
        <w:t>erupakan MIC antibiotik yang di</w:t>
      </w:r>
      <w:r w:rsidRPr="00366F3F">
        <w:rPr>
          <w:rFonts w:cstheme="minorHAnsi"/>
        </w:rPr>
        <w:t>uji.</w:t>
      </w:r>
      <w:r w:rsidR="00566618">
        <w:rPr>
          <w:rFonts w:cstheme="minorHAnsi"/>
        </w:rPr>
        <w:t xml:space="preserve"> </w:t>
      </w:r>
      <w:r w:rsidRPr="00366F3F">
        <w:rPr>
          <w:rFonts w:cstheme="minorHAnsi"/>
        </w:rPr>
        <w:t xml:space="preserve">Salah satu kelebihan metode agar dilusi untuk penentuan MIC </w:t>
      </w:r>
      <w:r w:rsidRPr="00366F3F">
        <w:rPr>
          <w:rFonts w:cstheme="minorHAnsi"/>
          <w:i/>
        </w:rPr>
        <w:t>Neisseria gonorrhoeae</w:t>
      </w:r>
      <w:r w:rsidRPr="00366F3F">
        <w:rPr>
          <w:rFonts w:cstheme="minorHAnsi"/>
        </w:rPr>
        <w:t xml:space="preserve"> yang tidak dapat tumbuh pada teknik dilusi perbenihan cair.</w:t>
      </w:r>
      <w:r w:rsidR="008C534A" w:rsidRPr="00366F3F">
        <w:rPr>
          <w:rFonts w:cstheme="minorHAnsi"/>
          <w:vertAlign w:val="superscript"/>
        </w:rPr>
        <w:t>8</w:t>
      </w:r>
    </w:p>
    <w:p w:rsidR="00F932C4" w:rsidRPr="00366F3F" w:rsidRDefault="00F932C4" w:rsidP="00366F3F">
      <w:pPr>
        <w:pStyle w:val="ListParagraph"/>
        <w:tabs>
          <w:tab w:val="left" w:pos="360"/>
        </w:tabs>
        <w:autoSpaceDE w:val="0"/>
        <w:autoSpaceDN w:val="0"/>
        <w:adjustRightInd w:val="0"/>
        <w:ind w:firstLine="567"/>
        <w:jc w:val="both"/>
        <w:rPr>
          <w:rFonts w:asciiTheme="minorHAnsi" w:hAnsiTheme="minorHAnsi" w:cstheme="minorHAnsi"/>
          <w:sz w:val="22"/>
          <w:szCs w:val="22"/>
        </w:rPr>
      </w:pPr>
    </w:p>
    <w:p w:rsidR="00F932C4" w:rsidRPr="00366F3F" w:rsidRDefault="00F932C4" w:rsidP="00FF77F7">
      <w:pPr>
        <w:tabs>
          <w:tab w:val="left" w:pos="0"/>
        </w:tabs>
        <w:autoSpaceDE w:val="0"/>
        <w:autoSpaceDN w:val="0"/>
        <w:adjustRightInd w:val="0"/>
        <w:spacing w:after="0" w:line="240" w:lineRule="auto"/>
        <w:jc w:val="center"/>
        <w:rPr>
          <w:rFonts w:cstheme="minorHAnsi"/>
        </w:rPr>
      </w:pPr>
      <w:r w:rsidRPr="00366F3F">
        <w:rPr>
          <w:rFonts w:cstheme="minorHAnsi"/>
          <w:noProof/>
          <w:lang w:eastAsia="id-ID"/>
        </w:rPr>
        <w:drawing>
          <wp:inline distT="0" distB="0" distL="0" distR="0">
            <wp:extent cx="2286000" cy="1524000"/>
            <wp:effectExtent l="1905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643BD2" w:rsidRPr="00643BD2" w:rsidRDefault="00643BD2" w:rsidP="00FF77F7">
      <w:pPr>
        <w:pStyle w:val="NoSpacing"/>
        <w:rPr>
          <w:rFonts w:asciiTheme="minorHAnsi" w:hAnsiTheme="minorHAnsi" w:cstheme="minorHAnsi"/>
          <w:b/>
          <w:sz w:val="20"/>
          <w:szCs w:val="20"/>
        </w:rPr>
      </w:pPr>
    </w:p>
    <w:p w:rsidR="00F932C4" w:rsidRPr="00153ED3" w:rsidRDefault="00F932C4" w:rsidP="00FF77F7">
      <w:pPr>
        <w:pStyle w:val="NoSpacing"/>
        <w:rPr>
          <w:rFonts w:asciiTheme="minorHAnsi" w:hAnsiTheme="minorHAnsi" w:cstheme="minorHAnsi"/>
          <w:b/>
          <w:szCs w:val="22"/>
          <w:lang w:val="id-ID"/>
        </w:rPr>
      </w:pPr>
      <w:r w:rsidRPr="00366F3F">
        <w:rPr>
          <w:rFonts w:asciiTheme="minorHAnsi" w:hAnsiTheme="minorHAnsi" w:cstheme="minorHAnsi"/>
          <w:b/>
          <w:szCs w:val="22"/>
        </w:rPr>
        <w:lastRenderedPageBreak/>
        <w:t xml:space="preserve">Gambar </w:t>
      </w:r>
      <w:r w:rsidR="004D3ECE" w:rsidRPr="00366F3F">
        <w:rPr>
          <w:rFonts w:asciiTheme="minorHAnsi" w:hAnsiTheme="minorHAnsi" w:cstheme="minorHAnsi"/>
          <w:b/>
          <w:szCs w:val="22"/>
          <w:lang w:val="id-ID"/>
        </w:rPr>
        <w:t>2</w:t>
      </w:r>
      <w:r w:rsidRPr="00366F3F">
        <w:rPr>
          <w:rFonts w:asciiTheme="minorHAnsi" w:hAnsiTheme="minorHAnsi" w:cstheme="minorHAnsi"/>
          <w:b/>
          <w:szCs w:val="22"/>
        </w:rPr>
        <w:t>. Penentuan MIC pada teknik agar dilusi</w:t>
      </w:r>
      <w:r w:rsidR="00153ED3" w:rsidRPr="00153ED3">
        <w:rPr>
          <w:rFonts w:asciiTheme="minorHAnsi" w:hAnsiTheme="minorHAnsi" w:cstheme="minorHAnsi"/>
          <w:b/>
          <w:szCs w:val="22"/>
          <w:vertAlign w:val="superscript"/>
          <w:lang w:val="id-ID"/>
        </w:rPr>
        <w:t>10</w:t>
      </w:r>
    </w:p>
    <w:p w:rsidR="00F932C4" w:rsidRPr="00366F3F" w:rsidRDefault="00F932C4" w:rsidP="00366F3F">
      <w:pPr>
        <w:tabs>
          <w:tab w:val="left" w:pos="0"/>
        </w:tabs>
        <w:autoSpaceDE w:val="0"/>
        <w:autoSpaceDN w:val="0"/>
        <w:adjustRightInd w:val="0"/>
        <w:spacing w:after="0" w:line="240" w:lineRule="auto"/>
        <w:ind w:firstLine="567"/>
        <w:jc w:val="center"/>
        <w:rPr>
          <w:rFonts w:cstheme="minorHAnsi"/>
        </w:rPr>
      </w:pPr>
    </w:p>
    <w:p w:rsidR="00FF77F7" w:rsidRDefault="00F932C4" w:rsidP="00FF77F7">
      <w:pPr>
        <w:tabs>
          <w:tab w:val="left" w:pos="0"/>
        </w:tabs>
        <w:autoSpaceDE w:val="0"/>
        <w:autoSpaceDN w:val="0"/>
        <w:adjustRightInd w:val="0"/>
        <w:spacing w:after="0" w:line="240" w:lineRule="auto"/>
        <w:ind w:firstLine="567"/>
        <w:jc w:val="both"/>
        <w:rPr>
          <w:rFonts w:cstheme="minorHAnsi"/>
          <w:vertAlign w:val="superscript"/>
          <w:lang w:val="en-US"/>
        </w:rPr>
      </w:pPr>
      <w:r w:rsidRPr="00366F3F">
        <w:rPr>
          <w:rFonts w:cstheme="minorHAnsi"/>
          <w:bCs/>
        </w:rPr>
        <w:tab/>
        <w:t>Dasar penentuan antimikroba secara in</w:t>
      </w:r>
      <w:r w:rsidR="00FF77F7">
        <w:rPr>
          <w:rFonts w:cstheme="minorHAnsi"/>
          <w:bCs/>
          <w:lang w:val="en-US"/>
        </w:rPr>
        <w:t xml:space="preserve"> </w:t>
      </w:r>
      <w:r w:rsidRPr="00366F3F">
        <w:rPr>
          <w:rFonts w:cstheme="minorHAnsi"/>
          <w:bCs/>
        </w:rPr>
        <w:t>vitro adalah MIC (</w:t>
      </w:r>
      <w:r w:rsidRPr="00366F3F">
        <w:rPr>
          <w:rFonts w:cstheme="minorHAnsi"/>
          <w:bCs/>
          <w:i/>
        </w:rPr>
        <w:t>minimum inhibition concentration</w:t>
      </w:r>
      <w:r w:rsidRPr="00366F3F">
        <w:rPr>
          <w:rFonts w:cstheme="minorHAnsi"/>
          <w:bCs/>
        </w:rPr>
        <w:t>) dan MBC (</w:t>
      </w:r>
      <w:r w:rsidRPr="00366F3F">
        <w:rPr>
          <w:rFonts w:cstheme="minorHAnsi"/>
          <w:bCs/>
          <w:i/>
        </w:rPr>
        <w:t>minimum bactericidal concentration</w:t>
      </w:r>
      <w:r w:rsidRPr="00366F3F">
        <w:rPr>
          <w:rFonts w:cstheme="minorHAnsi"/>
          <w:bCs/>
        </w:rPr>
        <w:t xml:space="preserve">). MIC merupakan konsentrasi terendah bakteri yang dapat menghambat pertumbuhan bakteri dengan hasil yang dilihat dari pertumbuhan koloni pada agar atau kekeruhan pada pembiakan cair. Sedangkan MBC adalah konsentrasi terendah antimikroba yang dapat membunuh 99,9% pada biakan selama waktu yang ditentukan. </w:t>
      </w:r>
      <w:r w:rsidRPr="00366F3F">
        <w:rPr>
          <w:rFonts w:cstheme="minorHAnsi"/>
        </w:rPr>
        <w:t>Absorpsi  obat dan distribusi antimikroba akan mempengaruhi dosis, rute dan frekuensi pemberian antimikroba untuk mendapatkan dosis efekt</w:t>
      </w:r>
      <w:r w:rsidR="00FF77F7">
        <w:rPr>
          <w:rFonts w:cstheme="minorHAnsi"/>
        </w:rPr>
        <w:t>if di tempat terjadinya infeksi</w:t>
      </w:r>
      <w:r w:rsidR="00FF77F7">
        <w:rPr>
          <w:rFonts w:cstheme="minorHAnsi"/>
          <w:lang w:val="en-US"/>
        </w:rPr>
        <w:t>.</w:t>
      </w:r>
      <w:r w:rsidR="00B969E3" w:rsidRPr="00366F3F">
        <w:rPr>
          <w:rFonts w:cstheme="minorHAnsi"/>
          <w:vertAlign w:val="superscript"/>
        </w:rPr>
        <w:t>8,</w:t>
      </w:r>
      <w:r w:rsidR="00153ED3">
        <w:rPr>
          <w:rFonts w:cstheme="minorHAnsi"/>
          <w:vertAlign w:val="superscript"/>
        </w:rPr>
        <w:t>11</w:t>
      </w:r>
    </w:p>
    <w:p w:rsidR="00FF77F7" w:rsidRPr="00153ED3" w:rsidRDefault="00F932C4" w:rsidP="00153ED3">
      <w:pPr>
        <w:tabs>
          <w:tab w:val="left" w:pos="0"/>
        </w:tabs>
        <w:autoSpaceDE w:val="0"/>
        <w:autoSpaceDN w:val="0"/>
        <w:adjustRightInd w:val="0"/>
        <w:spacing w:after="0" w:line="240" w:lineRule="auto"/>
        <w:ind w:firstLine="567"/>
        <w:jc w:val="both"/>
        <w:rPr>
          <w:rFonts w:cstheme="minorHAnsi"/>
          <w:vertAlign w:val="superscript"/>
        </w:rPr>
      </w:pPr>
      <w:r w:rsidRPr="00366F3F">
        <w:rPr>
          <w:rFonts w:cstheme="minorHAnsi"/>
        </w:rPr>
        <w:t xml:space="preserve">Penentuan konsentrasi minimum antibiotik yang dapat membunuh bakteri/ </w:t>
      </w:r>
      <w:r w:rsidRPr="00366F3F">
        <w:rPr>
          <w:rFonts w:cstheme="minorHAnsi"/>
          <w:i/>
        </w:rPr>
        <w:t>minimum</w:t>
      </w:r>
      <w:r w:rsidRPr="00366F3F">
        <w:rPr>
          <w:rFonts w:cstheme="minorHAnsi"/>
        </w:rPr>
        <w:t xml:space="preserve"> </w:t>
      </w:r>
      <w:r w:rsidRPr="00366F3F">
        <w:rPr>
          <w:rFonts w:cstheme="minorHAnsi"/>
          <w:i/>
        </w:rPr>
        <w:t>bactericidal concentration</w:t>
      </w:r>
      <w:r w:rsidRPr="00366F3F">
        <w:rPr>
          <w:rFonts w:cstheme="minorHAnsi"/>
        </w:rPr>
        <w:t xml:space="preserve"> (MBC) dilakukan dengan menanam bakteri pada perbenihan cair yang digunakan untuk MIC ke dalam agar kemudian diinkubasi semalam pada 37⁰C. MBC adalah ketika tidak terjadi pertumbuhan</w:t>
      </w:r>
      <w:r w:rsidR="00B969E3" w:rsidRPr="00366F3F">
        <w:rPr>
          <w:rFonts w:cstheme="minorHAnsi"/>
        </w:rPr>
        <w:t xml:space="preserve"> lagi pada agar.</w:t>
      </w:r>
      <w:r w:rsidR="00153ED3">
        <w:rPr>
          <w:rFonts w:cstheme="minorHAnsi"/>
          <w:vertAlign w:val="superscript"/>
        </w:rPr>
        <w:t>11</w:t>
      </w:r>
    </w:p>
    <w:p w:rsidR="00FF77F7" w:rsidRDefault="00FF77F7" w:rsidP="00FF77F7">
      <w:pPr>
        <w:tabs>
          <w:tab w:val="left" w:pos="0"/>
        </w:tabs>
        <w:autoSpaceDE w:val="0"/>
        <w:autoSpaceDN w:val="0"/>
        <w:adjustRightInd w:val="0"/>
        <w:spacing w:after="0" w:line="240" w:lineRule="auto"/>
        <w:ind w:firstLine="567"/>
        <w:jc w:val="both"/>
        <w:rPr>
          <w:rFonts w:cstheme="minorHAnsi"/>
          <w:vertAlign w:val="superscript"/>
          <w:lang w:val="en-US"/>
        </w:rPr>
      </w:pPr>
    </w:p>
    <w:p w:rsidR="00FF77F7" w:rsidRPr="00FF77F7" w:rsidRDefault="00FF77F7" w:rsidP="00FF77F7">
      <w:pPr>
        <w:tabs>
          <w:tab w:val="left" w:pos="0"/>
        </w:tabs>
        <w:autoSpaceDE w:val="0"/>
        <w:autoSpaceDN w:val="0"/>
        <w:adjustRightInd w:val="0"/>
        <w:spacing w:after="0" w:line="240" w:lineRule="auto"/>
        <w:ind w:firstLine="567"/>
        <w:jc w:val="both"/>
        <w:rPr>
          <w:rFonts w:cstheme="minorHAnsi"/>
          <w:vertAlign w:val="superscript"/>
          <w:lang w:val="en-US"/>
        </w:rPr>
      </w:pPr>
    </w:p>
    <w:p w:rsidR="00F932C4" w:rsidRPr="00366F3F" w:rsidRDefault="00B969E3" w:rsidP="005455CC">
      <w:pPr>
        <w:tabs>
          <w:tab w:val="left" w:pos="360"/>
        </w:tabs>
        <w:autoSpaceDE w:val="0"/>
        <w:autoSpaceDN w:val="0"/>
        <w:adjustRightInd w:val="0"/>
        <w:spacing w:after="0" w:line="240" w:lineRule="auto"/>
        <w:jc w:val="both"/>
        <w:rPr>
          <w:rFonts w:cstheme="minorHAnsi"/>
        </w:rPr>
      </w:pPr>
      <w:r w:rsidRPr="00366F3F">
        <w:rPr>
          <w:rFonts w:cstheme="minorHAnsi"/>
          <w:noProof/>
          <w:lang w:eastAsia="id-ID"/>
        </w:rPr>
        <w:drawing>
          <wp:inline distT="0" distB="0" distL="0" distR="0">
            <wp:extent cx="2640965" cy="1130793"/>
            <wp:effectExtent l="19050" t="0" r="698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640965" cy="1130793"/>
                    </a:xfrm>
                    <a:prstGeom prst="rect">
                      <a:avLst/>
                    </a:prstGeom>
                    <a:noFill/>
                    <a:ln w="9525">
                      <a:noFill/>
                      <a:miter lim="800000"/>
                      <a:headEnd/>
                      <a:tailEnd/>
                    </a:ln>
                  </pic:spPr>
                </pic:pic>
              </a:graphicData>
            </a:graphic>
          </wp:inline>
        </w:drawing>
      </w:r>
    </w:p>
    <w:p w:rsidR="00F932C4" w:rsidRPr="00366F3F" w:rsidRDefault="00F932C4" w:rsidP="005455CC">
      <w:pPr>
        <w:autoSpaceDE w:val="0"/>
        <w:autoSpaceDN w:val="0"/>
        <w:adjustRightInd w:val="0"/>
        <w:spacing w:after="0" w:line="240" w:lineRule="auto"/>
        <w:jc w:val="center"/>
        <w:rPr>
          <w:rFonts w:cstheme="minorHAnsi"/>
        </w:rPr>
      </w:pPr>
      <w:r w:rsidRPr="00366F3F">
        <w:rPr>
          <w:rFonts w:cstheme="minorHAnsi"/>
          <w:noProof/>
          <w:lang w:eastAsia="id-ID"/>
        </w:rPr>
        <w:drawing>
          <wp:inline distT="0" distB="0" distL="0" distR="0">
            <wp:extent cx="2610794" cy="1110882"/>
            <wp:effectExtent l="1905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621221" cy="1115319"/>
                    </a:xfrm>
                    <a:prstGeom prst="rect">
                      <a:avLst/>
                    </a:prstGeom>
                    <a:noFill/>
                    <a:ln w="9525">
                      <a:noFill/>
                      <a:miter lim="800000"/>
                      <a:headEnd/>
                      <a:tailEnd/>
                    </a:ln>
                  </pic:spPr>
                </pic:pic>
              </a:graphicData>
            </a:graphic>
          </wp:inline>
        </w:drawing>
      </w:r>
    </w:p>
    <w:p w:rsidR="00F932C4" w:rsidRPr="00366F3F" w:rsidRDefault="00F932C4" w:rsidP="005455CC">
      <w:pPr>
        <w:autoSpaceDE w:val="0"/>
        <w:autoSpaceDN w:val="0"/>
        <w:adjustRightInd w:val="0"/>
        <w:spacing w:after="0" w:line="240" w:lineRule="auto"/>
        <w:jc w:val="center"/>
        <w:rPr>
          <w:rFonts w:cstheme="minorHAnsi"/>
        </w:rPr>
      </w:pPr>
      <w:r w:rsidRPr="00366F3F">
        <w:rPr>
          <w:rFonts w:cstheme="minorHAnsi"/>
          <w:noProof/>
          <w:lang w:eastAsia="id-ID"/>
        </w:rPr>
        <w:drawing>
          <wp:inline distT="0" distB="0" distL="0" distR="0">
            <wp:extent cx="2616383" cy="1148668"/>
            <wp:effectExtent l="19050" t="0" r="0" b="0"/>
            <wp:docPr id="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2622004" cy="1151136"/>
                    </a:xfrm>
                    <a:prstGeom prst="rect">
                      <a:avLst/>
                    </a:prstGeom>
                    <a:noFill/>
                    <a:ln w="9525">
                      <a:noFill/>
                      <a:miter lim="800000"/>
                      <a:headEnd/>
                      <a:tailEnd/>
                    </a:ln>
                  </pic:spPr>
                </pic:pic>
              </a:graphicData>
            </a:graphic>
          </wp:inline>
        </w:drawing>
      </w:r>
    </w:p>
    <w:p w:rsidR="00643BD2" w:rsidRPr="00643BD2" w:rsidRDefault="00643BD2" w:rsidP="005455CC">
      <w:pPr>
        <w:pStyle w:val="NoSpacing"/>
        <w:rPr>
          <w:rFonts w:asciiTheme="minorHAnsi" w:hAnsiTheme="minorHAnsi" w:cstheme="minorHAnsi"/>
          <w:b/>
          <w:szCs w:val="22"/>
        </w:rPr>
      </w:pPr>
    </w:p>
    <w:p w:rsidR="00F932C4" w:rsidRPr="00153ED3" w:rsidRDefault="00F932C4" w:rsidP="005455CC">
      <w:pPr>
        <w:pStyle w:val="NoSpacing"/>
        <w:rPr>
          <w:rFonts w:asciiTheme="minorHAnsi" w:hAnsiTheme="minorHAnsi" w:cstheme="minorHAnsi"/>
          <w:b/>
          <w:sz w:val="20"/>
          <w:szCs w:val="20"/>
          <w:lang w:val="id-ID"/>
        </w:rPr>
      </w:pPr>
      <w:r w:rsidRPr="00FF77F7">
        <w:rPr>
          <w:rFonts w:asciiTheme="minorHAnsi" w:hAnsiTheme="minorHAnsi" w:cstheme="minorHAnsi"/>
          <w:b/>
          <w:sz w:val="20"/>
          <w:szCs w:val="20"/>
        </w:rPr>
        <w:t xml:space="preserve">Gambar </w:t>
      </w:r>
      <w:r w:rsidR="00B969E3" w:rsidRPr="00FF77F7">
        <w:rPr>
          <w:rFonts w:asciiTheme="minorHAnsi" w:hAnsiTheme="minorHAnsi" w:cstheme="minorHAnsi"/>
          <w:b/>
          <w:sz w:val="20"/>
          <w:szCs w:val="20"/>
          <w:lang w:val="id-ID"/>
        </w:rPr>
        <w:t>3</w:t>
      </w:r>
      <w:r w:rsidRPr="00FF77F7">
        <w:rPr>
          <w:rFonts w:asciiTheme="minorHAnsi" w:hAnsiTheme="minorHAnsi" w:cstheme="minorHAnsi"/>
          <w:b/>
          <w:sz w:val="20"/>
          <w:szCs w:val="20"/>
        </w:rPr>
        <w:t xml:space="preserve">. Penentuan </w:t>
      </w:r>
      <w:r w:rsidRPr="00FF77F7">
        <w:rPr>
          <w:rFonts w:asciiTheme="minorHAnsi" w:hAnsiTheme="minorHAnsi" w:cstheme="minorHAnsi"/>
          <w:b/>
          <w:i/>
          <w:sz w:val="20"/>
          <w:szCs w:val="20"/>
        </w:rPr>
        <w:t>minimum</w:t>
      </w:r>
      <w:r w:rsidRPr="00FF77F7">
        <w:rPr>
          <w:rFonts w:asciiTheme="minorHAnsi" w:hAnsiTheme="minorHAnsi" w:cstheme="minorHAnsi"/>
          <w:b/>
          <w:sz w:val="20"/>
          <w:szCs w:val="20"/>
        </w:rPr>
        <w:t xml:space="preserve"> </w:t>
      </w:r>
      <w:r w:rsidRPr="00FF77F7">
        <w:rPr>
          <w:rFonts w:asciiTheme="minorHAnsi" w:hAnsiTheme="minorHAnsi" w:cstheme="minorHAnsi"/>
          <w:b/>
          <w:i/>
          <w:sz w:val="20"/>
          <w:szCs w:val="20"/>
        </w:rPr>
        <w:t>bactericidal concentration</w:t>
      </w:r>
      <w:r w:rsidRPr="00FF77F7">
        <w:rPr>
          <w:rFonts w:asciiTheme="minorHAnsi" w:hAnsiTheme="minorHAnsi" w:cstheme="minorHAnsi"/>
          <w:b/>
          <w:sz w:val="20"/>
          <w:szCs w:val="20"/>
        </w:rPr>
        <w:t xml:space="preserve"> (MBC) antibiotik</w:t>
      </w:r>
      <w:r w:rsidR="00153ED3" w:rsidRPr="00153ED3">
        <w:rPr>
          <w:rFonts w:asciiTheme="minorHAnsi" w:hAnsiTheme="minorHAnsi" w:cstheme="minorHAnsi"/>
          <w:b/>
          <w:sz w:val="20"/>
          <w:szCs w:val="20"/>
          <w:vertAlign w:val="superscript"/>
          <w:lang w:val="id-ID"/>
        </w:rPr>
        <w:t>1</w:t>
      </w:r>
      <w:r w:rsidR="00BB6151">
        <w:rPr>
          <w:rFonts w:asciiTheme="minorHAnsi" w:hAnsiTheme="minorHAnsi" w:cstheme="minorHAnsi"/>
          <w:b/>
          <w:sz w:val="20"/>
          <w:szCs w:val="20"/>
          <w:vertAlign w:val="superscript"/>
          <w:lang w:val="id-ID"/>
        </w:rPr>
        <w:t>0</w:t>
      </w:r>
    </w:p>
    <w:p w:rsidR="00F932C4" w:rsidRPr="00366F3F" w:rsidRDefault="00F932C4" w:rsidP="00FF77F7">
      <w:pPr>
        <w:spacing w:after="0" w:line="240" w:lineRule="auto"/>
        <w:ind w:firstLine="720"/>
        <w:jc w:val="both"/>
        <w:rPr>
          <w:rFonts w:cstheme="minorHAnsi"/>
          <w:b/>
          <w:vertAlign w:val="superscript"/>
        </w:rPr>
      </w:pPr>
      <w:r w:rsidRPr="00366F3F">
        <w:rPr>
          <w:rFonts w:cstheme="minorHAnsi"/>
        </w:rPr>
        <w:lastRenderedPageBreak/>
        <w:t>Penentuan MBC  dilakukan penanaman dari  semua perbenihan cair pada penentuan MIC</w:t>
      </w:r>
      <w:r w:rsidR="00B969E3" w:rsidRPr="00366F3F">
        <w:rPr>
          <w:rFonts w:cstheme="minorHAnsi"/>
        </w:rPr>
        <w:t>.</w:t>
      </w:r>
      <w:r w:rsidRPr="00366F3F">
        <w:rPr>
          <w:rFonts w:cstheme="minorHAnsi"/>
        </w:rPr>
        <w:t xml:space="preserve"> </w:t>
      </w:r>
      <w:r w:rsidR="00FF77F7">
        <w:rPr>
          <w:rFonts w:cstheme="minorHAnsi"/>
          <w:lang w:val="en-US"/>
        </w:rPr>
        <w:t>Pada gambar 3,</w:t>
      </w:r>
      <w:r w:rsidRPr="00366F3F">
        <w:rPr>
          <w:rFonts w:cstheme="minorHAnsi"/>
        </w:rPr>
        <w:t xml:space="preserve"> dari kiri atas merupakan media pertumbuhan untuk konsentrasi 0,</w:t>
      </w:r>
      <w:r w:rsidR="00FF77F7">
        <w:rPr>
          <w:rFonts w:cstheme="minorHAnsi"/>
          <w:lang w:val="en-US"/>
        </w:rPr>
        <w:t xml:space="preserve"> </w:t>
      </w:r>
      <w:r w:rsidRPr="00366F3F">
        <w:rPr>
          <w:rFonts w:cstheme="minorHAnsi"/>
        </w:rPr>
        <w:t>1,</w:t>
      </w:r>
      <w:r w:rsidR="00FF77F7">
        <w:rPr>
          <w:rFonts w:cstheme="minorHAnsi"/>
          <w:lang w:val="en-US"/>
        </w:rPr>
        <w:t xml:space="preserve"> </w:t>
      </w:r>
      <w:r w:rsidRPr="00366F3F">
        <w:rPr>
          <w:rFonts w:cstheme="minorHAnsi"/>
        </w:rPr>
        <w:t>2,</w:t>
      </w:r>
      <w:r w:rsidR="00FF77F7">
        <w:rPr>
          <w:rFonts w:cstheme="minorHAnsi"/>
          <w:lang w:val="en-US"/>
        </w:rPr>
        <w:t xml:space="preserve"> </w:t>
      </w:r>
      <w:r w:rsidRPr="00366F3F">
        <w:rPr>
          <w:rFonts w:cstheme="minorHAnsi"/>
        </w:rPr>
        <w:t>4,</w:t>
      </w:r>
      <w:r w:rsidR="00FF77F7">
        <w:rPr>
          <w:rFonts w:cstheme="minorHAnsi"/>
          <w:lang w:val="en-US"/>
        </w:rPr>
        <w:t xml:space="preserve"> </w:t>
      </w:r>
      <w:r w:rsidRPr="00366F3F">
        <w:rPr>
          <w:rFonts w:cstheme="minorHAnsi"/>
        </w:rPr>
        <w:t>8,</w:t>
      </w:r>
      <w:r w:rsidR="00FF77F7">
        <w:rPr>
          <w:rFonts w:cstheme="minorHAnsi"/>
          <w:lang w:val="en-US"/>
        </w:rPr>
        <w:t xml:space="preserve"> </w:t>
      </w:r>
      <w:r w:rsidRPr="00366F3F">
        <w:rPr>
          <w:rFonts w:cstheme="minorHAnsi"/>
        </w:rPr>
        <w:t>16,</w:t>
      </w:r>
      <w:r w:rsidR="00FF77F7">
        <w:rPr>
          <w:rFonts w:cstheme="minorHAnsi"/>
          <w:lang w:val="en-US"/>
        </w:rPr>
        <w:t xml:space="preserve"> </w:t>
      </w:r>
      <w:r w:rsidRPr="00366F3F">
        <w:rPr>
          <w:rFonts w:cstheme="minorHAnsi"/>
        </w:rPr>
        <w:t>32</w:t>
      </w:r>
      <w:r w:rsidR="00FF77F7">
        <w:rPr>
          <w:rFonts w:cstheme="minorHAnsi"/>
          <w:lang w:val="en-US"/>
        </w:rPr>
        <w:t>,</w:t>
      </w:r>
      <w:r w:rsidRPr="00366F3F">
        <w:rPr>
          <w:rFonts w:cstheme="minorHAnsi"/>
        </w:rPr>
        <w:t xml:space="preserve"> dan 64. Pada konsentrasi 32 masih ada pertumbuhan 8 koloni, sedangkan pada 64 sudah tidak ditumbuhi berarti MBC 64 µg/ml.</w:t>
      </w:r>
      <w:r w:rsidR="00D01EDD">
        <w:rPr>
          <w:rFonts w:cstheme="minorHAnsi"/>
          <w:vertAlign w:val="superscript"/>
        </w:rPr>
        <w:t>1</w:t>
      </w:r>
      <w:r w:rsidR="00BB6151">
        <w:rPr>
          <w:rFonts w:cstheme="minorHAnsi"/>
          <w:vertAlign w:val="superscript"/>
        </w:rPr>
        <w:t>2</w:t>
      </w:r>
    </w:p>
    <w:p w:rsidR="00295DA3" w:rsidRPr="00366F3F" w:rsidRDefault="00F932C4" w:rsidP="005455CC">
      <w:pPr>
        <w:autoSpaceDE w:val="0"/>
        <w:autoSpaceDN w:val="0"/>
        <w:adjustRightInd w:val="0"/>
        <w:spacing w:after="0" w:line="240" w:lineRule="auto"/>
        <w:ind w:firstLine="720"/>
        <w:jc w:val="both"/>
        <w:rPr>
          <w:rFonts w:cstheme="minorHAnsi"/>
          <w:vertAlign w:val="superscript"/>
        </w:rPr>
      </w:pPr>
      <w:r w:rsidRPr="00366F3F">
        <w:rPr>
          <w:rFonts w:cstheme="minorHAnsi"/>
        </w:rPr>
        <w:t>Keuntungan dan kerugian metode dilusi memungkinkan penentuan kualitatif dan kuantitatif dilakukan bersama-sama. MIC dapat membantu  dalam penentuan tingkat resistensi dan dapat menjadi petunjuk penggunaan antimikroba. Kerugiannya  metode ini tidak efisien karena pengerjaannya yang rumit, memerlukan banyak alat-alat dan bahan serta memerlukan ketelitian dalam proses pengerjaannya termasuk persiapan konsentrasi antimikroba yang bervariasi.</w:t>
      </w:r>
      <w:r w:rsidR="00DD717A" w:rsidRPr="00366F3F">
        <w:rPr>
          <w:rFonts w:cstheme="minorHAnsi"/>
          <w:vertAlign w:val="superscript"/>
        </w:rPr>
        <w:t>1</w:t>
      </w:r>
    </w:p>
    <w:p w:rsidR="00F932C4" w:rsidRPr="00FF77F7" w:rsidRDefault="00F932C4" w:rsidP="00FF77F7">
      <w:pPr>
        <w:pStyle w:val="ListParagraph"/>
        <w:numPr>
          <w:ilvl w:val="0"/>
          <w:numId w:val="15"/>
        </w:numPr>
        <w:autoSpaceDE w:val="0"/>
        <w:autoSpaceDN w:val="0"/>
        <w:adjustRightInd w:val="0"/>
        <w:ind w:left="284" w:hanging="284"/>
        <w:jc w:val="both"/>
        <w:rPr>
          <w:rFonts w:asciiTheme="minorHAnsi" w:hAnsiTheme="minorHAnsi" w:cstheme="minorHAnsi"/>
          <w:sz w:val="22"/>
          <w:szCs w:val="22"/>
        </w:rPr>
      </w:pPr>
      <w:r w:rsidRPr="00FF77F7">
        <w:rPr>
          <w:rFonts w:asciiTheme="minorHAnsi" w:hAnsiTheme="minorHAnsi" w:cstheme="minorHAnsi"/>
          <w:sz w:val="22"/>
          <w:szCs w:val="22"/>
        </w:rPr>
        <w:t xml:space="preserve">Metode </w:t>
      </w:r>
      <w:r w:rsidR="00FF77F7">
        <w:rPr>
          <w:rFonts w:asciiTheme="minorHAnsi" w:hAnsiTheme="minorHAnsi" w:cstheme="minorHAnsi"/>
          <w:sz w:val="22"/>
          <w:szCs w:val="22"/>
        </w:rPr>
        <w:t>D</w:t>
      </w:r>
      <w:r w:rsidRPr="00FF77F7">
        <w:rPr>
          <w:rFonts w:asciiTheme="minorHAnsi" w:hAnsiTheme="minorHAnsi" w:cstheme="minorHAnsi"/>
          <w:sz w:val="22"/>
          <w:szCs w:val="22"/>
        </w:rPr>
        <w:t>ifusi</w:t>
      </w:r>
    </w:p>
    <w:p w:rsidR="00F932C4" w:rsidRDefault="00F932C4" w:rsidP="00FF77F7">
      <w:pPr>
        <w:autoSpaceDE w:val="0"/>
        <w:autoSpaceDN w:val="0"/>
        <w:adjustRightInd w:val="0"/>
        <w:spacing w:after="0" w:line="240" w:lineRule="auto"/>
        <w:ind w:firstLine="567"/>
        <w:jc w:val="both"/>
        <w:rPr>
          <w:rFonts w:cstheme="minorHAnsi"/>
          <w:vertAlign w:val="superscript"/>
          <w:lang w:val="en-US"/>
        </w:rPr>
      </w:pPr>
      <w:r w:rsidRPr="00366F3F">
        <w:rPr>
          <w:rFonts w:cstheme="minorHAnsi"/>
        </w:rPr>
        <w:t xml:space="preserve">Cakram kertas, yang telah dibubuhkan sejumlah tertentu antimikroba, ditempatkan pada media yang telah </w:t>
      </w:r>
      <w:r w:rsidR="00864A6B">
        <w:rPr>
          <w:rFonts w:cstheme="minorHAnsi"/>
        </w:rPr>
        <w:t>ditanami organisme yang akan di</w:t>
      </w:r>
      <w:r w:rsidRPr="00366F3F">
        <w:rPr>
          <w:rFonts w:cstheme="minorHAnsi"/>
        </w:rPr>
        <w:t>uji secara merata. Tingginya konsentrasi  dari antimikroba  ditentukan oleh difusi dari cakram dan pertumbuhan organisme uji  dihambat penyebarannya sepanjang difusi antimikroba (terben</w:t>
      </w:r>
      <w:r w:rsidR="00864A6B" w:rsidRPr="00864A6B">
        <w:rPr>
          <w:rFonts w:cstheme="minorHAnsi"/>
        </w:rPr>
        <w:t>t</w:t>
      </w:r>
      <w:r w:rsidRPr="00366F3F">
        <w:rPr>
          <w:rFonts w:cstheme="minorHAnsi"/>
        </w:rPr>
        <w:t>uk zona jernih disekitar cakram), sehingga bakteri tersebut  merupakan bakteri yang sensitif terhadap antimikroba. Ada hubungan persamaan yang hampir linear (berbanding lurus) antara log MIC, seperti yang diukur oleh metode dilusi dan diameter zona daya hambat  pada metode difusi.</w:t>
      </w:r>
      <w:r w:rsidR="00E8426C" w:rsidRPr="00366F3F">
        <w:rPr>
          <w:rFonts w:cstheme="minorHAnsi"/>
          <w:vertAlign w:val="superscript"/>
        </w:rPr>
        <w:t>2,8</w:t>
      </w:r>
    </w:p>
    <w:p w:rsidR="00864A6B" w:rsidRPr="00643BD2" w:rsidRDefault="00864A6B" w:rsidP="00FF77F7">
      <w:pPr>
        <w:autoSpaceDE w:val="0"/>
        <w:autoSpaceDN w:val="0"/>
        <w:adjustRightInd w:val="0"/>
        <w:spacing w:after="0" w:line="240" w:lineRule="auto"/>
        <w:ind w:firstLine="567"/>
        <w:jc w:val="both"/>
        <w:rPr>
          <w:rFonts w:cstheme="minorHAnsi"/>
          <w:lang w:val="en-US"/>
        </w:rPr>
      </w:pPr>
    </w:p>
    <w:p w:rsidR="00F932C4" w:rsidRPr="00366F3F" w:rsidRDefault="0060682D" w:rsidP="00864A6B">
      <w:pPr>
        <w:autoSpaceDE w:val="0"/>
        <w:autoSpaceDN w:val="0"/>
        <w:adjustRightInd w:val="0"/>
        <w:spacing w:after="0" w:line="240" w:lineRule="auto"/>
        <w:rPr>
          <w:rFonts w:cstheme="minorHAnsi"/>
          <w:b/>
          <w:bCs/>
        </w:rPr>
      </w:pPr>
      <w:r w:rsidRPr="00366F3F">
        <w:rPr>
          <w:rFonts w:cstheme="minorHAnsi"/>
          <w:b/>
          <w:bCs/>
          <w:noProof/>
          <w:lang w:eastAsia="id-ID"/>
        </w:rPr>
        <w:lastRenderedPageBreak/>
        <w:drawing>
          <wp:inline distT="0" distB="0" distL="0" distR="0">
            <wp:extent cx="2640965" cy="2009430"/>
            <wp:effectExtent l="19050" t="0" r="698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640965" cy="2009430"/>
                    </a:xfrm>
                    <a:prstGeom prst="rect">
                      <a:avLst/>
                    </a:prstGeom>
                    <a:noFill/>
                    <a:ln w="9525">
                      <a:noFill/>
                      <a:miter lim="800000"/>
                      <a:headEnd/>
                      <a:tailEnd/>
                    </a:ln>
                  </pic:spPr>
                </pic:pic>
              </a:graphicData>
            </a:graphic>
          </wp:inline>
        </w:drawing>
      </w:r>
    </w:p>
    <w:p w:rsidR="00643BD2" w:rsidRDefault="00643BD2" w:rsidP="00FF77F7">
      <w:pPr>
        <w:autoSpaceDE w:val="0"/>
        <w:autoSpaceDN w:val="0"/>
        <w:adjustRightInd w:val="0"/>
        <w:spacing w:after="0" w:line="240" w:lineRule="auto"/>
        <w:ind w:firstLine="567"/>
        <w:jc w:val="center"/>
        <w:rPr>
          <w:rFonts w:cstheme="minorHAnsi"/>
          <w:b/>
          <w:bCs/>
          <w:sz w:val="20"/>
          <w:szCs w:val="20"/>
          <w:lang w:val="en-US"/>
        </w:rPr>
      </w:pPr>
    </w:p>
    <w:p w:rsidR="0060682D" w:rsidRPr="00864A6B" w:rsidRDefault="00F932C4" w:rsidP="00FF77F7">
      <w:pPr>
        <w:autoSpaceDE w:val="0"/>
        <w:autoSpaceDN w:val="0"/>
        <w:adjustRightInd w:val="0"/>
        <w:spacing w:after="0" w:line="240" w:lineRule="auto"/>
        <w:ind w:firstLine="567"/>
        <w:jc w:val="center"/>
        <w:rPr>
          <w:rFonts w:cstheme="minorHAnsi"/>
          <w:b/>
          <w:bCs/>
          <w:sz w:val="20"/>
          <w:szCs w:val="20"/>
        </w:rPr>
      </w:pPr>
      <w:r w:rsidRPr="00864A6B">
        <w:rPr>
          <w:rFonts w:cstheme="minorHAnsi"/>
          <w:b/>
          <w:bCs/>
          <w:sz w:val="20"/>
          <w:szCs w:val="20"/>
        </w:rPr>
        <w:t xml:space="preserve">Gambar </w:t>
      </w:r>
      <w:r w:rsidR="00792BE8" w:rsidRPr="00864A6B">
        <w:rPr>
          <w:rFonts w:cstheme="minorHAnsi"/>
          <w:b/>
          <w:bCs/>
          <w:sz w:val="20"/>
          <w:szCs w:val="20"/>
        </w:rPr>
        <w:t>4.</w:t>
      </w:r>
      <w:r w:rsidRPr="00864A6B">
        <w:rPr>
          <w:rFonts w:cstheme="minorHAnsi"/>
          <w:b/>
          <w:bCs/>
          <w:sz w:val="20"/>
          <w:szCs w:val="20"/>
        </w:rPr>
        <w:t xml:space="preserve"> Konsentrasi MIC (μg/ml) dan kemungkinan penggunaan daya hambat hambat digunakan sebagai antimikroba</w:t>
      </w:r>
      <w:r w:rsidR="00D01EDD" w:rsidRPr="00D01EDD">
        <w:rPr>
          <w:rFonts w:cstheme="minorHAnsi"/>
          <w:b/>
          <w:bCs/>
          <w:sz w:val="20"/>
          <w:szCs w:val="20"/>
          <w:vertAlign w:val="superscript"/>
        </w:rPr>
        <w:t>1</w:t>
      </w:r>
      <w:r w:rsidR="00CB37F1">
        <w:rPr>
          <w:rFonts w:cstheme="minorHAnsi"/>
          <w:b/>
          <w:bCs/>
          <w:sz w:val="20"/>
          <w:szCs w:val="20"/>
          <w:vertAlign w:val="superscript"/>
        </w:rPr>
        <w:t>3</w:t>
      </w:r>
    </w:p>
    <w:p w:rsidR="00F932C4" w:rsidRPr="00366F3F" w:rsidRDefault="00F932C4" w:rsidP="00FF77F7">
      <w:pPr>
        <w:autoSpaceDE w:val="0"/>
        <w:autoSpaceDN w:val="0"/>
        <w:adjustRightInd w:val="0"/>
        <w:spacing w:after="0" w:line="240" w:lineRule="auto"/>
        <w:ind w:firstLine="567"/>
        <w:jc w:val="center"/>
        <w:rPr>
          <w:rFonts w:cstheme="minorHAnsi"/>
          <w:b/>
          <w:bCs/>
        </w:rPr>
      </w:pPr>
    </w:p>
    <w:p w:rsidR="00F932C4" w:rsidRPr="00366F3F" w:rsidRDefault="00F932C4" w:rsidP="00FF77F7">
      <w:pPr>
        <w:autoSpaceDE w:val="0"/>
        <w:autoSpaceDN w:val="0"/>
        <w:adjustRightInd w:val="0"/>
        <w:spacing w:after="0" w:line="240" w:lineRule="auto"/>
        <w:ind w:firstLine="567"/>
        <w:jc w:val="both"/>
        <w:rPr>
          <w:rFonts w:cstheme="minorHAnsi"/>
          <w:bCs/>
          <w:vertAlign w:val="superscript"/>
        </w:rPr>
      </w:pPr>
      <w:r w:rsidRPr="00366F3F">
        <w:rPr>
          <w:rFonts w:cstheme="minorHAnsi"/>
          <w:bCs/>
        </w:rPr>
        <w:t>Hasil dari tes kepekaan,  mikroorganisme diklasifikasikan ke dala</w:t>
      </w:r>
      <w:r w:rsidR="00864A6B">
        <w:rPr>
          <w:rFonts w:cstheme="minorHAnsi"/>
          <w:bCs/>
        </w:rPr>
        <w:t>m dua atau lebih kategori. Sist</w:t>
      </w:r>
      <w:r w:rsidR="00864A6B">
        <w:rPr>
          <w:rFonts w:cstheme="minorHAnsi"/>
          <w:bCs/>
          <w:lang w:val="en-US"/>
        </w:rPr>
        <w:t>e</w:t>
      </w:r>
      <w:r w:rsidRPr="00366F3F">
        <w:rPr>
          <w:rFonts w:cstheme="minorHAnsi"/>
          <w:bCs/>
        </w:rPr>
        <w:t>m yang sederhana menentukan dua kategori</w:t>
      </w:r>
      <w:r w:rsidR="00864A6B">
        <w:rPr>
          <w:rFonts w:cstheme="minorHAnsi"/>
          <w:bCs/>
          <w:lang w:val="en-US"/>
        </w:rPr>
        <w:t>,</w:t>
      </w:r>
      <w:r w:rsidRPr="00366F3F">
        <w:rPr>
          <w:rFonts w:cstheme="minorHAnsi"/>
          <w:bCs/>
        </w:rPr>
        <w:t xml:space="preserve"> yaitu sensitif dan resisten. Meskipun klasifikasi tersebut memberikan banyak keuntungan untuk kepentingan statistik dan epidemiologi, bagi klinisi merupakan ukuran yang terlalu kasar untuk digunakan. Dengan demikian hasil dengan tiga klasifikasi yang biasa </w:t>
      </w:r>
      <w:r w:rsidR="00864A6B">
        <w:rPr>
          <w:rFonts w:cstheme="minorHAnsi"/>
          <w:bCs/>
        </w:rPr>
        <w:t>digunakan, (sensitif, intermedi</w:t>
      </w:r>
      <w:r w:rsidR="00864A6B">
        <w:rPr>
          <w:rFonts w:cstheme="minorHAnsi"/>
          <w:bCs/>
          <w:lang w:val="en-US"/>
        </w:rPr>
        <w:t>e</w:t>
      </w:r>
      <w:r w:rsidR="00864A6B">
        <w:rPr>
          <w:rFonts w:cstheme="minorHAnsi"/>
          <w:bCs/>
        </w:rPr>
        <w:t>t</w:t>
      </w:r>
      <w:r w:rsidRPr="00366F3F">
        <w:rPr>
          <w:rFonts w:cstheme="minorHAnsi"/>
          <w:bCs/>
        </w:rPr>
        <w:t>, dan resisten) sepe</w:t>
      </w:r>
      <w:r w:rsidR="00792BE8" w:rsidRPr="00366F3F">
        <w:rPr>
          <w:rFonts w:cstheme="minorHAnsi"/>
          <w:bCs/>
        </w:rPr>
        <w:t>rti pada metode Kirby-Bauer.</w:t>
      </w:r>
      <w:r w:rsidR="00792BE8" w:rsidRPr="00366F3F">
        <w:rPr>
          <w:rFonts w:cstheme="minorHAnsi"/>
          <w:bCs/>
          <w:vertAlign w:val="superscript"/>
        </w:rPr>
        <w:t>2,8</w:t>
      </w:r>
    </w:p>
    <w:p w:rsidR="00F932C4" w:rsidRDefault="00F932C4" w:rsidP="00FF77F7">
      <w:pPr>
        <w:autoSpaceDE w:val="0"/>
        <w:autoSpaceDN w:val="0"/>
        <w:adjustRightInd w:val="0"/>
        <w:spacing w:after="0" w:line="240" w:lineRule="auto"/>
        <w:ind w:firstLine="567"/>
        <w:jc w:val="both"/>
        <w:rPr>
          <w:rFonts w:cstheme="minorHAnsi"/>
          <w:vertAlign w:val="superscript"/>
          <w:lang w:val="en-US"/>
        </w:rPr>
      </w:pPr>
      <w:r w:rsidRPr="00366F3F">
        <w:rPr>
          <w:rFonts w:cstheme="minorHAnsi"/>
        </w:rPr>
        <w:t>Ukuran zona jernih tergantung kepada kecepatan difusi antimikroba, derajat sensitifitas mikroorganisme</w:t>
      </w:r>
      <w:r w:rsidR="00864A6B">
        <w:rPr>
          <w:rFonts w:cstheme="minorHAnsi"/>
          <w:lang w:val="en-US"/>
        </w:rPr>
        <w:t>,</w:t>
      </w:r>
      <w:r w:rsidRPr="00366F3F">
        <w:rPr>
          <w:rFonts w:cstheme="minorHAnsi"/>
        </w:rPr>
        <w:t xml:space="preserve"> dan kecepatan pertumbuhan bakteri. Zona hambat cakram antimikroba pada metode difusi berbanding terbalik dengan MIC. Semakin luas zona hambat, maka semakin kecil konsentrasi daya hambat minimum MIC. Untuk derajat  kategori bakteri dibandingkan terhadap diameter zona hambat yang berbeda-beda setiap antimikroba, sehingga dapat ditentukan kategori resisten, intermediate atau sensitif terhadap antimikroba uji.</w:t>
      </w:r>
      <w:r w:rsidR="00A24F21" w:rsidRPr="00366F3F">
        <w:rPr>
          <w:rFonts w:cstheme="minorHAnsi"/>
          <w:vertAlign w:val="superscript"/>
        </w:rPr>
        <w:t>8</w:t>
      </w:r>
    </w:p>
    <w:p w:rsidR="00864A6B" w:rsidRDefault="00864A6B" w:rsidP="00FF77F7">
      <w:pPr>
        <w:autoSpaceDE w:val="0"/>
        <w:autoSpaceDN w:val="0"/>
        <w:adjustRightInd w:val="0"/>
        <w:spacing w:after="0" w:line="240" w:lineRule="auto"/>
        <w:ind w:firstLine="567"/>
        <w:jc w:val="both"/>
        <w:rPr>
          <w:rFonts w:cstheme="minorHAnsi"/>
          <w:vertAlign w:val="superscript"/>
          <w:lang w:val="en-US"/>
        </w:rPr>
      </w:pPr>
    </w:p>
    <w:p w:rsidR="00864A6B" w:rsidRDefault="00864A6B" w:rsidP="00FF77F7">
      <w:pPr>
        <w:autoSpaceDE w:val="0"/>
        <w:autoSpaceDN w:val="0"/>
        <w:adjustRightInd w:val="0"/>
        <w:spacing w:after="0" w:line="240" w:lineRule="auto"/>
        <w:ind w:firstLine="567"/>
        <w:jc w:val="both"/>
        <w:rPr>
          <w:rFonts w:cstheme="minorHAnsi"/>
          <w:vertAlign w:val="superscript"/>
          <w:lang w:val="en-US"/>
        </w:rPr>
        <w:sectPr w:rsidR="00864A6B" w:rsidSect="00366F3F">
          <w:type w:val="continuous"/>
          <w:pgSz w:w="11906" w:h="16838"/>
          <w:pgMar w:top="1440" w:right="1133" w:bottom="1440" w:left="1701" w:header="708" w:footer="708" w:gutter="0"/>
          <w:cols w:num="2" w:space="708"/>
          <w:docGrid w:linePitch="360"/>
        </w:sectPr>
      </w:pPr>
    </w:p>
    <w:p w:rsidR="008640E7" w:rsidRPr="00EF0E07" w:rsidRDefault="008640E7" w:rsidP="008640E7">
      <w:pPr>
        <w:autoSpaceDE w:val="0"/>
        <w:autoSpaceDN w:val="0"/>
        <w:adjustRightInd w:val="0"/>
        <w:spacing w:after="0" w:line="240" w:lineRule="auto"/>
        <w:jc w:val="center"/>
        <w:rPr>
          <w:rFonts w:cstheme="minorHAnsi"/>
          <w:b/>
          <w:sz w:val="20"/>
          <w:szCs w:val="20"/>
        </w:rPr>
      </w:pPr>
      <w:r>
        <w:rPr>
          <w:rFonts w:cstheme="minorHAnsi"/>
          <w:b/>
          <w:sz w:val="20"/>
          <w:szCs w:val="20"/>
          <w:lang w:val="en-US"/>
        </w:rPr>
        <w:lastRenderedPageBreak/>
        <w:t>Tabel 1</w:t>
      </w:r>
      <w:r>
        <w:rPr>
          <w:rFonts w:cstheme="minorHAnsi"/>
          <w:b/>
          <w:sz w:val="20"/>
          <w:szCs w:val="20"/>
        </w:rPr>
        <w:t xml:space="preserve">. Standar </w:t>
      </w:r>
      <w:r>
        <w:rPr>
          <w:rFonts w:cstheme="minorHAnsi"/>
          <w:b/>
          <w:sz w:val="20"/>
          <w:szCs w:val="20"/>
          <w:lang w:val="en-US"/>
        </w:rPr>
        <w:t>d</w:t>
      </w:r>
      <w:r w:rsidRPr="00864A6B">
        <w:rPr>
          <w:rFonts w:cstheme="minorHAnsi"/>
          <w:b/>
          <w:sz w:val="20"/>
          <w:szCs w:val="20"/>
        </w:rPr>
        <w:t>iameter zona interpretasi dan perkiraan kaitannya MIC untuk penentuan kategori serta interpretasi hasil</w:t>
      </w:r>
      <w:r w:rsidR="00EF0E07">
        <w:rPr>
          <w:rFonts w:cstheme="minorHAnsi"/>
          <w:b/>
          <w:sz w:val="20"/>
          <w:szCs w:val="20"/>
          <w:vertAlign w:val="superscript"/>
        </w:rPr>
        <w:t>4</w:t>
      </w:r>
    </w:p>
    <w:tbl>
      <w:tblPr>
        <w:tblStyle w:val="LightGrid-Accent11"/>
        <w:tblW w:w="4899" w:type="pct"/>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2409"/>
        <w:gridCol w:w="992"/>
        <w:gridCol w:w="994"/>
        <w:gridCol w:w="1010"/>
        <w:gridCol w:w="996"/>
        <w:gridCol w:w="1623"/>
        <w:gridCol w:w="1076"/>
      </w:tblGrid>
      <w:tr w:rsidR="007F3EFB" w:rsidRPr="007F3EFB" w:rsidTr="00E31B5E">
        <w:trPr>
          <w:cnfStyle w:val="100000000000"/>
        </w:trPr>
        <w:tc>
          <w:tcPr>
            <w:cnfStyle w:val="001000000000"/>
            <w:tcW w:w="1324" w:type="pct"/>
            <w:vMerge w:val="restart"/>
            <w:tcBorders>
              <w:top w:val="single" w:sz="8" w:space="0" w:color="auto"/>
              <w:left w:val="nil"/>
              <w:bottom w:val="nil"/>
              <w:right w:val="nil"/>
            </w:tcBorders>
            <w:shd w:val="clear" w:color="auto" w:fill="auto"/>
            <w:hideMark/>
          </w:tcPr>
          <w:p w:rsidR="007F3EFB" w:rsidRPr="007F3EFB" w:rsidRDefault="007F3EFB" w:rsidP="007F3EFB">
            <w:pPr>
              <w:pStyle w:val="NormalWeb"/>
              <w:spacing w:before="0" w:beforeAutospacing="0" w:after="0" w:afterAutospacing="0"/>
              <w:jc w:val="center"/>
              <w:rPr>
                <w:rFonts w:asciiTheme="minorHAnsi" w:hAnsiTheme="minorHAnsi" w:cstheme="minorHAnsi"/>
                <w:b w:val="0"/>
                <w:sz w:val="20"/>
                <w:szCs w:val="20"/>
              </w:rPr>
            </w:pPr>
            <w:r w:rsidRPr="007F3EFB">
              <w:rPr>
                <w:rFonts w:asciiTheme="minorHAnsi" w:hAnsiTheme="minorHAnsi" w:cstheme="minorHAnsi"/>
                <w:b w:val="0"/>
                <w:sz w:val="20"/>
                <w:szCs w:val="20"/>
              </w:rPr>
              <w:t>Antimikroba</w:t>
            </w:r>
          </w:p>
          <w:p w:rsidR="007F3EFB" w:rsidRPr="007F3EFB" w:rsidRDefault="007F3EFB" w:rsidP="007F3EFB">
            <w:pPr>
              <w:pStyle w:val="NormalWeb"/>
              <w:spacing w:before="0" w:beforeAutospacing="0" w:after="0" w:afterAutospacing="0"/>
              <w:jc w:val="center"/>
              <w:rPr>
                <w:rFonts w:asciiTheme="minorHAnsi" w:hAnsiTheme="minorHAnsi" w:cstheme="minorHAnsi"/>
                <w:b w:val="0"/>
                <w:sz w:val="20"/>
                <w:szCs w:val="20"/>
              </w:rPr>
            </w:pPr>
            <w:r w:rsidRPr="007F3EFB">
              <w:rPr>
                <w:rFonts w:asciiTheme="minorHAnsi" w:hAnsiTheme="minorHAnsi" w:cstheme="minorHAnsi"/>
                <w:b w:val="0"/>
                <w:sz w:val="20"/>
                <w:szCs w:val="20"/>
              </w:rPr>
              <w:t>(jumlah tiap cakram)</w:t>
            </w:r>
          </w:p>
          <w:p w:rsidR="007F3EFB" w:rsidRPr="007F3EFB" w:rsidRDefault="007F3EFB" w:rsidP="007F3EFB">
            <w:pPr>
              <w:pStyle w:val="NormalWeb"/>
              <w:spacing w:before="0" w:beforeAutospacing="0" w:after="0" w:afterAutospacing="0"/>
              <w:jc w:val="center"/>
              <w:rPr>
                <w:rFonts w:asciiTheme="minorHAnsi" w:hAnsiTheme="minorHAnsi" w:cstheme="minorHAnsi"/>
                <w:b w:val="0"/>
                <w:sz w:val="20"/>
                <w:szCs w:val="20"/>
              </w:rPr>
            </w:pPr>
            <w:r w:rsidRPr="007F3EFB">
              <w:rPr>
                <w:rFonts w:asciiTheme="minorHAnsi" w:hAnsiTheme="minorHAnsi" w:cstheme="minorHAnsi"/>
                <w:b w:val="0"/>
                <w:sz w:val="20"/>
                <w:szCs w:val="20"/>
              </w:rPr>
              <w:t>dan organisme</w:t>
            </w:r>
          </w:p>
        </w:tc>
        <w:tc>
          <w:tcPr>
            <w:tcW w:w="2193" w:type="pct"/>
            <w:gridSpan w:val="4"/>
            <w:tcBorders>
              <w:top w:val="single" w:sz="8" w:space="0" w:color="auto"/>
              <w:left w:val="nil"/>
              <w:bottom w:val="single" w:sz="8" w:space="0" w:color="auto"/>
              <w:right w:val="nil"/>
            </w:tcBorders>
            <w:shd w:val="clear" w:color="auto" w:fill="auto"/>
            <w:hideMark/>
          </w:tcPr>
          <w:p w:rsidR="007F3EFB" w:rsidRPr="007F3EFB" w:rsidRDefault="007F3EFB" w:rsidP="007F3EFB">
            <w:pPr>
              <w:pStyle w:val="NormalWeb"/>
              <w:spacing w:before="0" w:beforeAutospacing="0" w:after="0" w:afterAutospacing="0"/>
              <w:jc w:val="center"/>
              <w:cnfStyle w:val="100000000000"/>
              <w:rPr>
                <w:rFonts w:asciiTheme="minorHAnsi" w:hAnsiTheme="minorHAnsi" w:cstheme="minorHAnsi"/>
                <w:b w:val="0"/>
                <w:sz w:val="20"/>
                <w:szCs w:val="20"/>
              </w:rPr>
            </w:pPr>
            <w:r w:rsidRPr="007F3EFB">
              <w:rPr>
                <w:rFonts w:asciiTheme="minorHAnsi" w:hAnsiTheme="minorHAnsi" w:cstheme="minorHAnsi"/>
                <w:b w:val="0"/>
                <w:sz w:val="20"/>
                <w:szCs w:val="20"/>
              </w:rPr>
              <w:t>Diameter zona (millimeter terdekat) untuk masing-masing kategori</w:t>
            </w:r>
          </w:p>
        </w:tc>
        <w:tc>
          <w:tcPr>
            <w:tcW w:w="1483" w:type="pct"/>
            <w:gridSpan w:val="2"/>
            <w:tcBorders>
              <w:top w:val="single" w:sz="8" w:space="0" w:color="auto"/>
              <w:left w:val="nil"/>
              <w:bottom w:val="single" w:sz="8" w:space="0" w:color="auto"/>
              <w:right w:val="nil"/>
            </w:tcBorders>
            <w:shd w:val="clear" w:color="auto" w:fill="auto"/>
            <w:hideMark/>
          </w:tcPr>
          <w:p w:rsidR="007F3EFB" w:rsidRPr="00C42DEF" w:rsidRDefault="007F3EFB" w:rsidP="00C42DEF">
            <w:pPr>
              <w:pStyle w:val="NormalWeb"/>
              <w:spacing w:before="0" w:beforeAutospacing="0" w:after="0" w:afterAutospacing="0"/>
              <w:jc w:val="center"/>
              <w:cnfStyle w:val="100000000000"/>
              <w:rPr>
                <w:rFonts w:asciiTheme="minorHAnsi" w:hAnsiTheme="minorHAnsi" w:cstheme="minorHAnsi"/>
                <w:b w:val="0"/>
                <w:sz w:val="20"/>
                <w:szCs w:val="20"/>
                <w:lang w:val="id-ID"/>
              </w:rPr>
            </w:pPr>
            <w:r w:rsidRPr="007F3EFB">
              <w:rPr>
                <w:rFonts w:asciiTheme="minorHAnsi" w:hAnsiTheme="minorHAnsi" w:cstheme="minorHAnsi"/>
                <w:b w:val="0"/>
                <w:sz w:val="20"/>
                <w:szCs w:val="20"/>
              </w:rPr>
              <w:t xml:space="preserve">Perkiraan  kaitan dengan MIC (mikro gm/ml) </w:t>
            </w:r>
            <w:r w:rsidR="00C42DEF">
              <w:rPr>
                <w:rFonts w:asciiTheme="minorHAnsi" w:hAnsiTheme="minorHAnsi" w:cstheme="minorHAnsi"/>
                <w:b w:val="0"/>
                <w:sz w:val="20"/>
                <w:szCs w:val="20"/>
                <w:lang w:val="id-ID"/>
              </w:rPr>
              <w:t>untuk masing-masing kategori</w:t>
            </w:r>
          </w:p>
        </w:tc>
      </w:tr>
      <w:tr w:rsidR="007F3EFB" w:rsidRPr="00864A6B" w:rsidTr="00A150D3">
        <w:trPr>
          <w:cnfStyle w:val="000000100000"/>
          <w:trHeight w:val="154"/>
        </w:trPr>
        <w:tc>
          <w:tcPr>
            <w:cnfStyle w:val="001000000000"/>
            <w:tcW w:w="1324" w:type="pct"/>
            <w:vMerge/>
            <w:tcBorders>
              <w:top w:val="single" w:sz="8" w:space="0" w:color="auto"/>
              <w:left w:val="nil"/>
              <w:bottom w:val="single" w:sz="8" w:space="0" w:color="auto"/>
              <w:right w:val="nil"/>
            </w:tcBorders>
            <w:shd w:val="clear" w:color="auto" w:fill="auto"/>
            <w:hideMark/>
          </w:tcPr>
          <w:p w:rsidR="007F3EFB" w:rsidRPr="00864A6B" w:rsidRDefault="007F3EFB" w:rsidP="007F3EFB">
            <w:pPr>
              <w:rPr>
                <w:rFonts w:asciiTheme="minorHAnsi" w:hAnsiTheme="minorHAnsi" w:cstheme="minorHAnsi"/>
                <w:color w:val="000000"/>
                <w:sz w:val="20"/>
                <w:szCs w:val="20"/>
              </w:rPr>
            </w:pPr>
          </w:p>
        </w:tc>
        <w:tc>
          <w:tcPr>
            <w:tcW w:w="545"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R</w:t>
            </w:r>
          </w:p>
        </w:tc>
        <w:tc>
          <w:tcPr>
            <w:tcW w:w="546"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I</w:t>
            </w:r>
          </w:p>
        </w:tc>
        <w:tc>
          <w:tcPr>
            <w:tcW w:w="555"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MS</w:t>
            </w:r>
          </w:p>
        </w:tc>
        <w:tc>
          <w:tcPr>
            <w:tcW w:w="547"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S</w:t>
            </w:r>
          </w:p>
        </w:tc>
        <w:tc>
          <w:tcPr>
            <w:tcW w:w="892"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R</w:t>
            </w:r>
          </w:p>
        </w:tc>
        <w:tc>
          <w:tcPr>
            <w:tcW w:w="591" w:type="pct"/>
            <w:tcBorders>
              <w:top w:val="single" w:sz="8" w:space="0" w:color="auto"/>
              <w:left w:val="nil"/>
              <w:bottom w:val="single" w:sz="8" w:space="0" w:color="auto"/>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S</w:t>
            </w:r>
          </w:p>
        </w:tc>
      </w:tr>
      <w:tr w:rsidR="007F3EFB" w:rsidRPr="00864A6B" w:rsidTr="00A150D3">
        <w:trPr>
          <w:cnfStyle w:val="000000010000"/>
        </w:trPr>
        <w:tc>
          <w:tcPr>
            <w:cnfStyle w:val="001000000000"/>
            <w:tcW w:w="1324"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val="0"/>
                <w:bCs w:val="0"/>
                <w:sz w:val="20"/>
                <w:szCs w:val="20"/>
              </w:rPr>
              <w:t>Ampisil</w:t>
            </w:r>
            <w:r w:rsidRPr="00864A6B">
              <w:rPr>
                <w:rFonts w:asciiTheme="minorHAnsi" w:hAnsiTheme="minorHAnsi" w:cstheme="minorHAnsi"/>
                <w:b w:val="0"/>
                <w:bCs w:val="0"/>
                <w:sz w:val="20"/>
                <w:szCs w:val="20"/>
              </w:rPr>
              <w:t>in (10 µg)</w:t>
            </w:r>
          </w:p>
        </w:tc>
        <w:tc>
          <w:tcPr>
            <w:tcW w:w="545"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6"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55"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892"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91" w:type="pct"/>
            <w:tcBorders>
              <w:top w:val="single" w:sz="8" w:space="0" w:color="auto"/>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r>
      <w:tr w:rsidR="007F3EFB" w:rsidRPr="00864A6B" w:rsidTr="00A150D3">
        <w:trPr>
          <w:cnfStyle w:val="000000100000"/>
          <w:trHeight w:val="209"/>
        </w:trPr>
        <w:tc>
          <w:tcPr>
            <w:cnfStyle w:val="001000000000"/>
            <w:tcW w:w="1324" w:type="pct"/>
            <w:tcBorders>
              <w:top w:val="nil"/>
              <w:left w:val="nil"/>
              <w:bottom w:val="nil"/>
              <w:right w:val="nil"/>
            </w:tcBorders>
            <w:shd w:val="clear" w:color="auto" w:fill="auto"/>
            <w:hideMark/>
          </w:tcPr>
          <w:p w:rsidR="007F3EFB" w:rsidRPr="00E93F16" w:rsidRDefault="007F3EFB" w:rsidP="007F3EFB">
            <w:pPr>
              <w:pStyle w:val="NormalWeb"/>
              <w:spacing w:before="0" w:beforeAutospacing="0" w:after="0" w:afterAutospacing="0"/>
              <w:ind w:firstLine="176"/>
              <w:rPr>
                <w:rFonts w:asciiTheme="minorHAnsi" w:hAnsiTheme="minorHAnsi" w:cstheme="minorHAnsi"/>
                <w:b w:val="0"/>
                <w:bCs w:val="0"/>
                <w:sz w:val="20"/>
                <w:szCs w:val="20"/>
              </w:rPr>
            </w:pPr>
            <w:r w:rsidRPr="00E93F16">
              <w:rPr>
                <w:rFonts w:asciiTheme="minorHAnsi" w:hAnsiTheme="minorHAnsi" w:cstheme="minorHAnsi"/>
                <w:b w:val="0"/>
                <w:bCs w:val="0"/>
                <w:i/>
                <w:iCs/>
                <w:sz w:val="20"/>
                <w:szCs w:val="20"/>
              </w:rPr>
              <w:t xml:space="preserve">Enterobacteriaceae </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11</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12-13</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14</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32</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8</w:t>
            </w:r>
          </w:p>
        </w:tc>
      </w:tr>
      <w:tr w:rsidR="007F3EFB" w:rsidRPr="00864A6B" w:rsidTr="00A150D3">
        <w:trPr>
          <w:cnfStyle w:val="000000010000"/>
        </w:trPr>
        <w:tc>
          <w:tcPr>
            <w:cnfStyle w:val="001000000000"/>
            <w:tcW w:w="1324" w:type="pct"/>
            <w:tcBorders>
              <w:top w:val="nil"/>
              <w:left w:val="nil"/>
              <w:bottom w:val="nil"/>
              <w:right w:val="nil"/>
            </w:tcBorders>
            <w:shd w:val="clear" w:color="auto" w:fill="auto"/>
            <w:hideMark/>
          </w:tcPr>
          <w:p w:rsidR="007F3EFB" w:rsidRPr="00E93F16" w:rsidRDefault="007F3EFB" w:rsidP="007F3EFB">
            <w:pPr>
              <w:pStyle w:val="NormalWeb"/>
              <w:spacing w:before="0" w:beforeAutospacing="0" w:after="0" w:afterAutospacing="0"/>
              <w:ind w:firstLine="176"/>
              <w:rPr>
                <w:rFonts w:asciiTheme="minorHAnsi" w:hAnsiTheme="minorHAnsi" w:cstheme="minorHAnsi"/>
                <w:b w:val="0"/>
                <w:bCs w:val="0"/>
                <w:sz w:val="20"/>
                <w:szCs w:val="20"/>
              </w:rPr>
            </w:pPr>
            <w:r w:rsidRPr="00E93F16">
              <w:rPr>
                <w:rFonts w:asciiTheme="minorHAnsi" w:hAnsiTheme="minorHAnsi" w:cstheme="minorHAnsi"/>
                <w:b w:val="0"/>
                <w:bCs w:val="0"/>
                <w:i/>
                <w:iCs/>
                <w:sz w:val="20"/>
                <w:szCs w:val="20"/>
              </w:rPr>
              <w:t xml:space="preserve">Staphylococcus </w:t>
            </w:r>
            <w:r w:rsidRPr="00E93F16">
              <w:rPr>
                <w:rFonts w:asciiTheme="minorHAnsi" w:hAnsiTheme="minorHAnsi" w:cstheme="minorHAnsi"/>
                <w:b w:val="0"/>
                <w:bCs w:val="0"/>
                <w:sz w:val="20"/>
                <w:szCs w:val="20"/>
              </w:rPr>
              <w:t xml:space="preserve">spp. </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28</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29</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beta-</w:t>
            </w:r>
            <w:r>
              <w:rPr>
                <w:rFonts w:asciiTheme="minorHAnsi" w:hAnsiTheme="minorHAnsi" w:cstheme="minorHAnsi"/>
                <w:sz w:val="20"/>
                <w:szCs w:val="20"/>
              </w:rPr>
              <w:t>l</w:t>
            </w:r>
            <w:r w:rsidRPr="00864A6B">
              <w:rPr>
                <w:rFonts w:asciiTheme="minorHAnsi" w:hAnsiTheme="minorHAnsi" w:cstheme="minorHAnsi"/>
                <w:sz w:val="20"/>
                <w:szCs w:val="20"/>
              </w:rPr>
              <w:t>aktamase</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Pr>
                <w:rFonts w:asciiTheme="minorHAnsi" w:hAnsiTheme="minorHAnsi" w:cstheme="minorHAnsi"/>
                <w:sz w:val="20"/>
                <w:szCs w:val="20"/>
              </w:rPr>
              <w:t>0,</w:t>
            </w:r>
            <w:r w:rsidRPr="00864A6B">
              <w:rPr>
                <w:rFonts w:asciiTheme="minorHAnsi" w:hAnsiTheme="minorHAnsi" w:cstheme="minorHAnsi"/>
                <w:sz w:val="20"/>
                <w:szCs w:val="20"/>
              </w:rPr>
              <w:t>25</w:t>
            </w:r>
          </w:p>
        </w:tc>
      </w:tr>
      <w:tr w:rsidR="007F3EFB" w:rsidRPr="00864A6B" w:rsidTr="00A150D3">
        <w:trPr>
          <w:cnfStyle w:val="000000100000"/>
        </w:trPr>
        <w:tc>
          <w:tcPr>
            <w:cnfStyle w:val="001000000000"/>
            <w:tcW w:w="1324" w:type="pct"/>
            <w:tcBorders>
              <w:top w:val="nil"/>
              <w:left w:val="nil"/>
              <w:bottom w:val="nil"/>
              <w:right w:val="nil"/>
            </w:tcBorders>
            <w:shd w:val="clear" w:color="auto" w:fill="auto"/>
            <w:hideMark/>
          </w:tcPr>
          <w:p w:rsidR="007F3EFB" w:rsidRPr="00E93F16" w:rsidRDefault="007F3EFB" w:rsidP="007F3EFB">
            <w:pPr>
              <w:pStyle w:val="NormalWeb"/>
              <w:spacing w:before="0" w:beforeAutospacing="0" w:after="0" w:afterAutospacing="0"/>
              <w:ind w:firstLine="176"/>
              <w:rPr>
                <w:rFonts w:asciiTheme="minorHAnsi" w:hAnsiTheme="minorHAnsi" w:cstheme="minorHAnsi"/>
                <w:b w:val="0"/>
                <w:bCs w:val="0"/>
                <w:sz w:val="20"/>
                <w:szCs w:val="20"/>
              </w:rPr>
            </w:pPr>
            <w:r w:rsidRPr="00E93F16">
              <w:rPr>
                <w:rFonts w:asciiTheme="minorHAnsi" w:hAnsiTheme="minorHAnsi" w:cstheme="minorHAnsi"/>
                <w:b w:val="0"/>
                <w:bCs w:val="0"/>
                <w:i/>
                <w:iCs/>
                <w:sz w:val="20"/>
                <w:szCs w:val="20"/>
              </w:rPr>
              <w:t xml:space="preserve">Haemophilus </w:t>
            </w:r>
            <w:r w:rsidRPr="00E93F16">
              <w:rPr>
                <w:rFonts w:asciiTheme="minorHAnsi" w:hAnsiTheme="minorHAnsi" w:cstheme="minorHAnsi"/>
                <w:b w:val="0"/>
                <w:bCs w:val="0"/>
                <w:sz w:val="20"/>
                <w:szCs w:val="20"/>
              </w:rPr>
              <w:t xml:space="preserve">spp. </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19</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20</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4</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2</w:t>
            </w:r>
          </w:p>
        </w:tc>
      </w:tr>
      <w:tr w:rsidR="007F3EFB" w:rsidRPr="00864A6B" w:rsidTr="00A150D3">
        <w:trPr>
          <w:cnfStyle w:val="000000010000"/>
        </w:trPr>
        <w:tc>
          <w:tcPr>
            <w:cnfStyle w:val="001000000000"/>
            <w:tcW w:w="1324" w:type="pct"/>
            <w:tcBorders>
              <w:top w:val="nil"/>
              <w:left w:val="nil"/>
              <w:bottom w:val="nil"/>
              <w:right w:val="nil"/>
            </w:tcBorders>
            <w:shd w:val="clear" w:color="auto" w:fill="auto"/>
            <w:hideMark/>
          </w:tcPr>
          <w:p w:rsidR="007F3EFB" w:rsidRPr="00E93F16" w:rsidRDefault="007F3EFB" w:rsidP="007F3EFB">
            <w:pPr>
              <w:pStyle w:val="NormalWeb"/>
              <w:spacing w:before="0" w:beforeAutospacing="0" w:after="0" w:afterAutospacing="0"/>
              <w:ind w:firstLine="176"/>
              <w:rPr>
                <w:rFonts w:asciiTheme="minorHAnsi" w:hAnsiTheme="minorHAnsi" w:cstheme="minorHAnsi"/>
                <w:b w:val="0"/>
                <w:bCs w:val="0"/>
                <w:sz w:val="20"/>
                <w:szCs w:val="20"/>
              </w:rPr>
            </w:pPr>
            <w:r w:rsidRPr="00E93F16">
              <w:rPr>
                <w:rFonts w:asciiTheme="minorHAnsi" w:hAnsiTheme="minorHAnsi" w:cstheme="minorHAnsi"/>
                <w:b w:val="0"/>
                <w:bCs w:val="0"/>
                <w:sz w:val="20"/>
                <w:szCs w:val="20"/>
              </w:rPr>
              <w:lastRenderedPageBreak/>
              <w:t xml:space="preserve">Enterococci </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16</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17</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16</w:t>
            </w:r>
          </w:p>
        </w:tc>
        <w:tc>
          <w:tcPr>
            <w:tcW w:w="591" w:type="pct"/>
            <w:tcBorders>
              <w:top w:val="nil"/>
              <w:left w:val="nil"/>
              <w:bottom w:val="nil"/>
              <w:right w:val="nil"/>
            </w:tcBorders>
            <w:shd w:val="clear" w:color="auto" w:fill="auto"/>
            <w:hideMark/>
          </w:tcPr>
          <w:p w:rsidR="007F3EFB" w:rsidRPr="00864A6B" w:rsidRDefault="007F3EFB" w:rsidP="007F3EFB">
            <w:pPr>
              <w:jc w:val="center"/>
              <w:cnfStyle w:val="000000010000"/>
              <w:rPr>
                <w:rFonts w:eastAsia="Times New Roman" w:cstheme="minorHAnsi"/>
                <w:color w:val="000000"/>
                <w:sz w:val="20"/>
                <w:szCs w:val="20"/>
              </w:rPr>
            </w:pPr>
            <w:r w:rsidRPr="00864A6B">
              <w:rPr>
                <w:rFonts w:eastAsia="Times New Roman" w:cstheme="minorHAnsi"/>
                <w:sz w:val="20"/>
                <w:szCs w:val="20"/>
              </w:rPr>
              <w:t> </w:t>
            </w:r>
          </w:p>
        </w:tc>
      </w:tr>
      <w:tr w:rsidR="007F3EFB" w:rsidRPr="00864A6B" w:rsidTr="00A150D3">
        <w:trPr>
          <w:cnfStyle w:val="000000100000"/>
          <w:trHeight w:val="83"/>
        </w:trPr>
        <w:tc>
          <w:tcPr>
            <w:cnfStyle w:val="001000000000"/>
            <w:tcW w:w="1324" w:type="pct"/>
            <w:tcBorders>
              <w:top w:val="nil"/>
              <w:left w:val="nil"/>
              <w:bottom w:val="nil"/>
              <w:right w:val="nil"/>
            </w:tcBorders>
            <w:shd w:val="clear" w:color="auto" w:fill="auto"/>
            <w:hideMark/>
          </w:tcPr>
          <w:p w:rsidR="007F3EFB" w:rsidRPr="00E93F16" w:rsidRDefault="007F3EFB" w:rsidP="007F3EFB">
            <w:pPr>
              <w:pStyle w:val="NormalWeb"/>
              <w:spacing w:before="0" w:beforeAutospacing="0" w:after="0" w:afterAutospacing="0"/>
              <w:ind w:firstLine="176"/>
              <w:rPr>
                <w:rFonts w:asciiTheme="minorHAnsi" w:hAnsiTheme="minorHAnsi" w:cstheme="minorHAnsi"/>
                <w:b w:val="0"/>
                <w:bCs w:val="0"/>
                <w:sz w:val="20"/>
                <w:szCs w:val="20"/>
              </w:rPr>
            </w:pPr>
            <w:r w:rsidRPr="00E93F16">
              <w:rPr>
                <w:rFonts w:asciiTheme="minorHAnsi" w:hAnsiTheme="minorHAnsi" w:cstheme="minorHAnsi"/>
                <w:b w:val="0"/>
                <w:bCs w:val="0"/>
                <w:i/>
                <w:iCs/>
                <w:sz w:val="20"/>
                <w:szCs w:val="20"/>
              </w:rPr>
              <w:t>Other</w:t>
            </w:r>
            <w:r w:rsidRPr="00E93F16">
              <w:rPr>
                <w:rFonts w:asciiTheme="minorHAnsi" w:hAnsiTheme="minorHAnsi" w:cstheme="minorHAnsi"/>
                <w:b w:val="0"/>
                <w:bCs w:val="0"/>
                <w:sz w:val="20"/>
                <w:szCs w:val="20"/>
              </w:rPr>
              <w:t xml:space="preserve"> streptococci </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21</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22-29</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30</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4</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0.12</w:t>
            </w:r>
          </w:p>
        </w:tc>
      </w:tr>
      <w:tr w:rsidR="007F3EFB" w:rsidRPr="00864A6B" w:rsidTr="00A150D3">
        <w:trPr>
          <w:cnfStyle w:val="00000001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b w:val="0"/>
                <w:bCs w:val="0"/>
                <w:sz w:val="20"/>
                <w:szCs w:val="20"/>
              </w:rPr>
            </w:pPr>
            <w:r>
              <w:rPr>
                <w:rFonts w:asciiTheme="minorHAnsi" w:hAnsiTheme="minorHAnsi" w:cstheme="minorHAnsi"/>
                <w:b w:val="0"/>
                <w:bCs w:val="0"/>
                <w:sz w:val="20"/>
                <w:szCs w:val="20"/>
              </w:rPr>
              <w:t>Kloramfenikol</w:t>
            </w:r>
            <w:r w:rsidRPr="00864A6B">
              <w:rPr>
                <w:rFonts w:asciiTheme="minorHAnsi" w:hAnsiTheme="minorHAnsi" w:cstheme="minorHAnsi"/>
                <w:b w:val="0"/>
                <w:bCs w:val="0"/>
                <w:sz w:val="20"/>
                <w:szCs w:val="20"/>
              </w:rPr>
              <w:t xml:space="preserve"> (30 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12</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13-17</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18</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25</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12.5</w:t>
            </w:r>
          </w:p>
        </w:tc>
      </w:tr>
      <w:tr w:rsidR="007F3EFB" w:rsidRPr="00864A6B" w:rsidTr="00A150D3">
        <w:trPr>
          <w:cnfStyle w:val="00000010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b w:val="0"/>
                <w:bCs w:val="0"/>
                <w:sz w:val="20"/>
                <w:szCs w:val="20"/>
              </w:rPr>
            </w:pPr>
            <w:r>
              <w:rPr>
                <w:rFonts w:asciiTheme="minorHAnsi" w:hAnsiTheme="minorHAnsi" w:cstheme="minorHAnsi"/>
                <w:b w:val="0"/>
                <w:bCs w:val="0"/>
                <w:sz w:val="20"/>
                <w:szCs w:val="20"/>
              </w:rPr>
              <w:t xml:space="preserve">Eritromisin </w:t>
            </w:r>
            <w:r w:rsidRPr="00864A6B">
              <w:rPr>
                <w:rFonts w:asciiTheme="minorHAnsi" w:hAnsiTheme="minorHAnsi" w:cstheme="minorHAnsi"/>
                <w:b w:val="0"/>
                <w:bCs w:val="0"/>
                <w:sz w:val="20"/>
                <w:szCs w:val="20"/>
              </w:rPr>
              <w:t>(15 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13</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14-17</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18</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8</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2</w:t>
            </w:r>
          </w:p>
        </w:tc>
      </w:tr>
      <w:tr w:rsidR="007F3EFB" w:rsidRPr="00864A6B" w:rsidTr="00A150D3">
        <w:trPr>
          <w:cnfStyle w:val="00000001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b w:val="0"/>
                <w:bCs w:val="0"/>
                <w:sz w:val="20"/>
                <w:szCs w:val="20"/>
              </w:rPr>
            </w:pPr>
            <w:r w:rsidRPr="00864A6B">
              <w:rPr>
                <w:rFonts w:asciiTheme="minorHAnsi" w:hAnsiTheme="minorHAnsi" w:cstheme="minorHAnsi"/>
                <w:b w:val="0"/>
                <w:bCs w:val="0"/>
                <w:sz w:val="20"/>
                <w:szCs w:val="20"/>
              </w:rPr>
              <w:t>Asam nalikdisat (30 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13</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14-18</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19</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32</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12</w:t>
            </w:r>
          </w:p>
        </w:tc>
      </w:tr>
      <w:tr w:rsidR="007F3EFB" w:rsidRPr="00864A6B" w:rsidTr="00A150D3">
        <w:trPr>
          <w:cnfStyle w:val="00000010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sz w:val="20"/>
                <w:szCs w:val="20"/>
              </w:rPr>
            </w:pPr>
            <w:r w:rsidRPr="00864A6B">
              <w:rPr>
                <w:rFonts w:asciiTheme="minorHAnsi" w:hAnsiTheme="minorHAnsi" w:cstheme="minorHAnsi"/>
                <w:b w:val="0"/>
                <w:bCs w:val="0"/>
                <w:sz w:val="20"/>
                <w:szCs w:val="20"/>
              </w:rPr>
              <w:t>Strepto</w:t>
            </w:r>
            <w:r>
              <w:rPr>
                <w:rFonts w:asciiTheme="minorHAnsi" w:hAnsiTheme="minorHAnsi" w:cstheme="minorHAnsi"/>
                <w:b w:val="0"/>
                <w:bCs w:val="0"/>
                <w:sz w:val="20"/>
                <w:szCs w:val="20"/>
              </w:rPr>
              <w:t>misin</w:t>
            </w:r>
            <w:r w:rsidRPr="00864A6B">
              <w:rPr>
                <w:rFonts w:asciiTheme="minorHAnsi" w:hAnsiTheme="minorHAnsi" w:cstheme="minorHAnsi"/>
                <w:b w:val="0"/>
                <w:bCs w:val="0"/>
                <w:sz w:val="20"/>
                <w:szCs w:val="20"/>
              </w:rPr>
              <w:t xml:space="preserve"> (10µg)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11</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12-14</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15</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r>
      <w:tr w:rsidR="007F3EFB" w:rsidRPr="00864A6B" w:rsidTr="00A150D3">
        <w:trPr>
          <w:cnfStyle w:val="00000001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sz w:val="20"/>
                <w:szCs w:val="20"/>
              </w:rPr>
            </w:pPr>
            <w:r w:rsidRPr="00864A6B">
              <w:rPr>
                <w:rFonts w:asciiTheme="minorHAnsi" w:hAnsiTheme="minorHAnsi" w:cstheme="minorHAnsi"/>
                <w:b w:val="0"/>
                <w:bCs w:val="0"/>
                <w:sz w:val="20"/>
                <w:szCs w:val="20"/>
              </w:rPr>
              <w:t>Tetra</w:t>
            </w:r>
            <w:r>
              <w:rPr>
                <w:rFonts w:asciiTheme="minorHAnsi" w:hAnsiTheme="minorHAnsi" w:cstheme="minorHAnsi"/>
                <w:b w:val="0"/>
                <w:bCs w:val="0"/>
                <w:sz w:val="20"/>
                <w:szCs w:val="20"/>
              </w:rPr>
              <w:t>siklin</w:t>
            </w:r>
            <w:r w:rsidRPr="00864A6B">
              <w:rPr>
                <w:rFonts w:asciiTheme="minorHAnsi" w:hAnsiTheme="minorHAnsi" w:cstheme="minorHAnsi"/>
                <w:b w:val="0"/>
                <w:bCs w:val="0"/>
                <w:sz w:val="20"/>
                <w:szCs w:val="20"/>
              </w:rPr>
              <w:t xml:space="preserve"> (30 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14</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15-18</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19</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16</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4</w:t>
            </w:r>
          </w:p>
        </w:tc>
      </w:tr>
      <w:tr w:rsidR="007F3EFB" w:rsidRPr="00864A6B" w:rsidTr="00A150D3">
        <w:trPr>
          <w:cnfStyle w:val="000000100000"/>
        </w:trPr>
        <w:tc>
          <w:tcPr>
            <w:cnfStyle w:val="001000000000"/>
            <w:tcW w:w="1324"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val="0"/>
                <w:bCs w:val="0"/>
                <w:sz w:val="20"/>
                <w:szCs w:val="20"/>
              </w:rPr>
              <w:t>Trimet</w:t>
            </w:r>
            <w:r w:rsidRPr="00864A6B">
              <w:rPr>
                <w:rFonts w:asciiTheme="minorHAnsi" w:hAnsiTheme="minorHAnsi" w:cstheme="minorHAnsi"/>
                <w:b w:val="0"/>
                <w:bCs w:val="0"/>
                <w:sz w:val="20"/>
                <w:szCs w:val="20"/>
              </w:rPr>
              <w:t>oprim (5 µg)</w:t>
            </w:r>
          </w:p>
        </w:tc>
        <w:tc>
          <w:tcPr>
            <w:tcW w:w="54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10</w:t>
            </w:r>
          </w:p>
        </w:tc>
        <w:tc>
          <w:tcPr>
            <w:tcW w:w="546"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11-15</w:t>
            </w:r>
          </w:p>
        </w:tc>
        <w:tc>
          <w:tcPr>
            <w:tcW w:w="555"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rPr>
              <w:t> </w:t>
            </w:r>
          </w:p>
        </w:tc>
        <w:tc>
          <w:tcPr>
            <w:tcW w:w="547"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16</w:t>
            </w:r>
          </w:p>
        </w:tc>
        <w:tc>
          <w:tcPr>
            <w:tcW w:w="892"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&gt;</w:t>
            </w:r>
            <w:r w:rsidRPr="00864A6B">
              <w:rPr>
                <w:rFonts w:asciiTheme="minorHAnsi" w:hAnsiTheme="minorHAnsi" w:cstheme="minorHAnsi"/>
                <w:sz w:val="20"/>
                <w:szCs w:val="20"/>
              </w:rPr>
              <w:t>16</w:t>
            </w:r>
          </w:p>
        </w:tc>
        <w:tc>
          <w:tcPr>
            <w:tcW w:w="591" w:type="pct"/>
            <w:tcBorders>
              <w:top w:val="nil"/>
              <w:left w:val="nil"/>
              <w:bottom w:val="nil"/>
              <w:right w:val="nil"/>
            </w:tcBorders>
            <w:shd w:val="clear" w:color="auto" w:fill="auto"/>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r w:rsidRPr="00864A6B">
              <w:rPr>
                <w:rFonts w:asciiTheme="minorHAnsi" w:hAnsiTheme="minorHAnsi" w:cstheme="minorHAnsi"/>
                <w:sz w:val="20"/>
                <w:szCs w:val="20"/>
                <w:u w:val="single"/>
              </w:rPr>
              <w:t>&lt;</w:t>
            </w:r>
            <w:r w:rsidRPr="00864A6B">
              <w:rPr>
                <w:rFonts w:asciiTheme="minorHAnsi" w:hAnsiTheme="minorHAnsi" w:cstheme="minorHAnsi"/>
                <w:sz w:val="20"/>
                <w:szCs w:val="20"/>
              </w:rPr>
              <w:t>4</w:t>
            </w:r>
          </w:p>
        </w:tc>
      </w:tr>
      <w:tr w:rsidR="007F3EFB" w:rsidRPr="00864A6B" w:rsidTr="007F3EFB">
        <w:trPr>
          <w:cnfStyle w:val="000000010000"/>
        </w:trPr>
        <w:tc>
          <w:tcPr>
            <w:cnfStyle w:val="001000000000"/>
            <w:tcW w:w="1324" w:type="pct"/>
            <w:tcBorders>
              <w:top w:val="nil"/>
              <w:left w:val="nil"/>
              <w:bottom w:val="nil"/>
              <w:right w:val="nil"/>
            </w:tcBorders>
            <w:hideMark/>
          </w:tcPr>
          <w:p w:rsidR="007F3EFB" w:rsidRPr="00864A6B" w:rsidRDefault="007F3EFB" w:rsidP="007F3EFB">
            <w:pPr>
              <w:pStyle w:val="NormalWeb"/>
              <w:spacing w:before="0" w:beforeAutospacing="0" w:after="0" w:afterAutospacing="0"/>
              <w:rPr>
                <w:rFonts w:asciiTheme="minorHAnsi" w:hAnsiTheme="minorHAnsi" w:cstheme="minorHAnsi"/>
                <w:b w:val="0"/>
                <w:bCs w:val="0"/>
                <w:sz w:val="20"/>
                <w:szCs w:val="20"/>
              </w:rPr>
            </w:pPr>
          </w:p>
        </w:tc>
        <w:tc>
          <w:tcPr>
            <w:tcW w:w="545"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u w:val="single"/>
              </w:rPr>
            </w:pPr>
          </w:p>
        </w:tc>
        <w:tc>
          <w:tcPr>
            <w:tcW w:w="546"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p>
        </w:tc>
        <w:tc>
          <w:tcPr>
            <w:tcW w:w="555"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rPr>
            </w:pPr>
          </w:p>
        </w:tc>
        <w:tc>
          <w:tcPr>
            <w:tcW w:w="547"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u w:val="single"/>
              </w:rPr>
            </w:pPr>
          </w:p>
        </w:tc>
        <w:tc>
          <w:tcPr>
            <w:tcW w:w="892"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u w:val="single"/>
              </w:rPr>
            </w:pPr>
          </w:p>
        </w:tc>
        <w:tc>
          <w:tcPr>
            <w:tcW w:w="591" w:type="pct"/>
            <w:tcBorders>
              <w:top w:val="nil"/>
              <w:left w:val="nil"/>
              <w:bottom w:val="nil"/>
              <w:right w:val="nil"/>
            </w:tcBorders>
            <w:hideMark/>
          </w:tcPr>
          <w:p w:rsidR="007F3EFB" w:rsidRPr="00864A6B" w:rsidRDefault="007F3EFB" w:rsidP="007F3EFB">
            <w:pPr>
              <w:pStyle w:val="NormalWeb"/>
              <w:spacing w:before="0" w:beforeAutospacing="0" w:after="0" w:afterAutospacing="0"/>
              <w:jc w:val="center"/>
              <w:cnfStyle w:val="000000010000"/>
              <w:rPr>
                <w:rFonts w:asciiTheme="minorHAnsi" w:hAnsiTheme="minorHAnsi" w:cstheme="minorHAnsi"/>
                <w:sz w:val="20"/>
                <w:szCs w:val="20"/>
                <w:u w:val="single"/>
              </w:rPr>
            </w:pPr>
          </w:p>
        </w:tc>
      </w:tr>
      <w:tr w:rsidR="007F3EFB" w:rsidRPr="00864A6B" w:rsidTr="007F3EFB">
        <w:trPr>
          <w:cnfStyle w:val="000000100000"/>
          <w:trHeight w:val="26"/>
        </w:trPr>
        <w:tc>
          <w:tcPr>
            <w:cnfStyle w:val="001000000000"/>
            <w:tcW w:w="1324" w:type="pct"/>
            <w:tcBorders>
              <w:top w:val="nil"/>
              <w:bottom w:val="single" w:sz="8" w:space="0" w:color="auto"/>
            </w:tcBorders>
            <w:hideMark/>
          </w:tcPr>
          <w:p w:rsidR="007F3EFB" w:rsidRPr="00864A6B" w:rsidRDefault="007F3EFB" w:rsidP="007F3EFB">
            <w:pPr>
              <w:pStyle w:val="NormalWeb"/>
              <w:spacing w:before="0" w:beforeAutospacing="0" w:after="0" w:afterAutospacing="0"/>
              <w:rPr>
                <w:rFonts w:asciiTheme="minorHAnsi" w:hAnsiTheme="minorHAnsi" w:cstheme="minorHAnsi"/>
                <w:b w:val="0"/>
                <w:bCs w:val="0"/>
                <w:sz w:val="20"/>
                <w:szCs w:val="20"/>
              </w:rPr>
            </w:pPr>
          </w:p>
        </w:tc>
        <w:tc>
          <w:tcPr>
            <w:tcW w:w="545"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u w:val="single"/>
              </w:rPr>
            </w:pPr>
          </w:p>
        </w:tc>
        <w:tc>
          <w:tcPr>
            <w:tcW w:w="546"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p>
        </w:tc>
        <w:tc>
          <w:tcPr>
            <w:tcW w:w="555"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rPr>
            </w:pPr>
          </w:p>
        </w:tc>
        <w:tc>
          <w:tcPr>
            <w:tcW w:w="547"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u w:val="single"/>
              </w:rPr>
            </w:pPr>
          </w:p>
        </w:tc>
        <w:tc>
          <w:tcPr>
            <w:tcW w:w="892"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u w:val="single"/>
              </w:rPr>
            </w:pPr>
          </w:p>
        </w:tc>
        <w:tc>
          <w:tcPr>
            <w:tcW w:w="591" w:type="pct"/>
            <w:tcBorders>
              <w:top w:val="nil"/>
              <w:bottom w:val="single" w:sz="8" w:space="0" w:color="auto"/>
            </w:tcBorders>
            <w:hideMark/>
          </w:tcPr>
          <w:p w:rsidR="007F3EFB" w:rsidRPr="00864A6B" w:rsidRDefault="007F3EFB" w:rsidP="007F3EFB">
            <w:pPr>
              <w:pStyle w:val="NormalWeb"/>
              <w:spacing w:before="0" w:beforeAutospacing="0" w:after="0" w:afterAutospacing="0"/>
              <w:jc w:val="center"/>
              <w:cnfStyle w:val="000000100000"/>
              <w:rPr>
                <w:rFonts w:asciiTheme="minorHAnsi" w:hAnsiTheme="minorHAnsi" w:cstheme="minorHAnsi"/>
                <w:sz w:val="20"/>
                <w:szCs w:val="20"/>
                <w:u w:val="single"/>
              </w:rPr>
            </w:pPr>
          </w:p>
        </w:tc>
      </w:tr>
    </w:tbl>
    <w:p w:rsidR="00EB24EB" w:rsidRPr="00643BD2" w:rsidRDefault="00EB24EB" w:rsidP="005455CC">
      <w:pPr>
        <w:autoSpaceDE w:val="0"/>
        <w:autoSpaceDN w:val="0"/>
        <w:adjustRightInd w:val="0"/>
        <w:spacing w:after="0" w:line="240" w:lineRule="auto"/>
        <w:jc w:val="center"/>
        <w:rPr>
          <w:rFonts w:cstheme="minorHAnsi"/>
          <w:b/>
        </w:rPr>
      </w:pPr>
    </w:p>
    <w:p w:rsidR="00864A6B" w:rsidRPr="00E93F16" w:rsidRDefault="00864A6B" w:rsidP="005455CC">
      <w:pPr>
        <w:autoSpaceDE w:val="0"/>
        <w:autoSpaceDN w:val="0"/>
        <w:adjustRightInd w:val="0"/>
        <w:spacing w:after="0" w:line="240" w:lineRule="auto"/>
        <w:jc w:val="both"/>
        <w:rPr>
          <w:rFonts w:cstheme="minorHAnsi"/>
          <w:b/>
          <w:lang w:val="en-US"/>
        </w:rPr>
        <w:sectPr w:rsidR="00864A6B" w:rsidRPr="00E93F16" w:rsidSect="00864A6B">
          <w:type w:val="continuous"/>
          <w:pgSz w:w="11906" w:h="16838"/>
          <w:pgMar w:top="1440" w:right="1133" w:bottom="1440" w:left="1701" w:header="708" w:footer="708" w:gutter="0"/>
          <w:cols w:space="708"/>
          <w:docGrid w:linePitch="360"/>
        </w:sectPr>
      </w:pPr>
    </w:p>
    <w:p w:rsidR="007B2E68" w:rsidRPr="00366F3F" w:rsidRDefault="007B2E68" w:rsidP="005455CC">
      <w:pPr>
        <w:autoSpaceDE w:val="0"/>
        <w:autoSpaceDN w:val="0"/>
        <w:adjustRightInd w:val="0"/>
        <w:spacing w:after="0" w:line="240" w:lineRule="auto"/>
        <w:jc w:val="both"/>
        <w:rPr>
          <w:rFonts w:cstheme="minorHAnsi"/>
          <w:b/>
        </w:rPr>
      </w:pPr>
      <w:r w:rsidRPr="00366F3F">
        <w:rPr>
          <w:rFonts w:cstheme="minorHAnsi"/>
          <w:b/>
        </w:rPr>
        <w:lastRenderedPageBreak/>
        <w:t>Ringkasan</w:t>
      </w:r>
    </w:p>
    <w:p w:rsidR="001A7261" w:rsidRPr="00EB5D83" w:rsidRDefault="001A7261" w:rsidP="00E93F16">
      <w:pPr>
        <w:autoSpaceDE w:val="0"/>
        <w:autoSpaceDN w:val="0"/>
        <w:adjustRightInd w:val="0"/>
        <w:spacing w:after="0" w:line="240" w:lineRule="auto"/>
        <w:ind w:firstLine="567"/>
        <w:jc w:val="both"/>
        <w:rPr>
          <w:rFonts w:cstheme="minorHAnsi"/>
          <w:b/>
        </w:rPr>
      </w:pPr>
      <w:r w:rsidRPr="00366F3F">
        <w:rPr>
          <w:rFonts w:cstheme="minorHAnsi"/>
        </w:rPr>
        <w:t>Tes kepekaan terhadap antimikroba adalah penentuan terhadap bakteri penyebab penyakit yang kemungkinan menunjukkan resistensi terhadap suatu antimikroba atau kemampuan suatu antimikroba untuk menghambat pertumbuhan bakteri yang tumbuh in vitro, sehingga dapat dipilih sebagai antimikroba  yang berpotensi untuk pengobatan</w:t>
      </w:r>
      <w:r w:rsidR="00E93F16" w:rsidRPr="00EB5D83">
        <w:rPr>
          <w:rFonts w:cstheme="minorHAnsi"/>
        </w:rPr>
        <w:t>.</w:t>
      </w:r>
    </w:p>
    <w:p w:rsidR="007B2E68" w:rsidRPr="00366F3F" w:rsidRDefault="007B2E68" w:rsidP="005455CC">
      <w:pPr>
        <w:autoSpaceDE w:val="0"/>
        <w:autoSpaceDN w:val="0"/>
        <w:adjustRightInd w:val="0"/>
        <w:spacing w:after="0" w:line="240" w:lineRule="auto"/>
        <w:jc w:val="both"/>
        <w:rPr>
          <w:rFonts w:cstheme="minorHAnsi"/>
          <w:b/>
        </w:rPr>
      </w:pPr>
    </w:p>
    <w:p w:rsidR="00A475C0" w:rsidRPr="00366F3F" w:rsidRDefault="007B2E68" w:rsidP="005455CC">
      <w:pPr>
        <w:autoSpaceDE w:val="0"/>
        <w:autoSpaceDN w:val="0"/>
        <w:adjustRightInd w:val="0"/>
        <w:spacing w:after="0" w:line="240" w:lineRule="auto"/>
        <w:jc w:val="both"/>
        <w:rPr>
          <w:rFonts w:cstheme="minorHAnsi"/>
        </w:rPr>
      </w:pPr>
      <w:r w:rsidRPr="00366F3F">
        <w:rPr>
          <w:rFonts w:cstheme="minorHAnsi"/>
          <w:b/>
        </w:rPr>
        <w:t>Simpulan</w:t>
      </w:r>
    </w:p>
    <w:p w:rsidR="00A475C0" w:rsidRPr="00E31B5E" w:rsidRDefault="00A475C0" w:rsidP="00E31B5E">
      <w:pPr>
        <w:spacing w:after="0" w:line="240" w:lineRule="auto"/>
        <w:ind w:firstLine="567"/>
        <w:jc w:val="both"/>
        <w:rPr>
          <w:lang w:val="en-US"/>
        </w:rPr>
      </w:pPr>
      <w:r w:rsidRPr="00366F3F">
        <w:t>Uji kepekaan antimikroba yang digunakan pada laboratorium klinik berdasarkan pada metode difusi dan dilusi. Kedua metode ini digunakan untuk mendapatkan</w:t>
      </w:r>
      <w:r w:rsidR="00E31B5E">
        <w:rPr>
          <w:lang w:val="en-US"/>
        </w:rPr>
        <w:t xml:space="preserve"> </w:t>
      </w:r>
      <w:r w:rsidR="00E31B5E" w:rsidRPr="00366F3F">
        <w:rPr>
          <w:rFonts w:cstheme="minorHAnsi"/>
          <w:bCs/>
        </w:rPr>
        <w:t>MIC (</w:t>
      </w:r>
      <w:r w:rsidR="00E31B5E" w:rsidRPr="00366F3F">
        <w:rPr>
          <w:rFonts w:cstheme="minorHAnsi"/>
          <w:bCs/>
          <w:i/>
        </w:rPr>
        <w:t>minimum inhibition concentration</w:t>
      </w:r>
      <w:r w:rsidR="00E31B5E" w:rsidRPr="00366F3F">
        <w:rPr>
          <w:rFonts w:cstheme="minorHAnsi"/>
          <w:bCs/>
        </w:rPr>
        <w:t>)</w:t>
      </w:r>
      <w:r w:rsidRPr="00366F3F">
        <w:t xml:space="preserve"> suatu agen antimikroba.</w:t>
      </w:r>
    </w:p>
    <w:p w:rsidR="00A475C0" w:rsidRPr="00366F3F" w:rsidRDefault="00A475C0" w:rsidP="00E93F16">
      <w:pPr>
        <w:spacing w:after="0" w:line="240" w:lineRule="auto"/>
        <w:ind w:firstLine="567"/>
        <w:jc w:val="both"/>
      </w:pPr>
      <w:r w:rsidRPr="00366F3F">
        <w:t>Alasan dilakukannya uji kepekaan antimikroba adalah untuk mendapatkan agen antimikroba yang tepat untuk pengobatan penyakit infeksi tertentu. Uji sensitifitas antimikroba tidak dilakukan pada setiap spesimen, melainkan hanya dilakukan pada spesimen dengan jenis mikroba tertentu yang belum diketahui secara umum sensitifitasnya terhadap jenis-jenis antimikroba yang umum digunakan.</w:t>
      </w:r>
    </w:p>
    <w:p w:rsidR="007B2E68" w:rsidRPr="00E93F16" w:rsidRDefault="007B2E68" w:rsidP="005455CC">
      <w:pPr>
        <w:spacing w:after="0" w:line="240" w:lineRule="auto"/>
        <w:jc w:val="both"/>
        <w:rPr>
          <w:b/>
          <w:lang w:val="en-US"/>
        </w:rPr>
      </w:pPr>
    </w:p>
    <w:p w:rsidR="005667F8" w:rsidRPr="00366F3F" w:rsidRDefault="005667F8" w:rsidP="005455CC">
      <w:pPr>
        <w:spacing w:after="0" w:line="240" w:lineRule="auto"/>
        <w:jc w:val="both"/>
        <w:rPr>
          <w:b/>
        </w:rPr>
      </w:pPr>
      <w:r w:rsidRPr="00366F3F">
        <w:rPr>
          <w:b/>
        </w:rPr>
        <w:t>Daftar Pustaka</w:t>
      </w:r>
    </w:p>
    <w:p w:rsidR="00462242" w:rsidRPr="00366F3F" w:rsidRDefault="00462242"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Sennang</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N, Wildena</w:t>
      </w:r>
      <w:r w:rsidRPr="00366F3F">
        <w:rPr>
          <w:rFonts w:asciiTheme="minorHAnsi" w:hAnsiTheme="minorHAnsi" w:cstheme="minorHAnsi"/>
          <w:sz w:val="22"/>
          <w:szCs w:val="22"/>
          <w:lang w:val="id-ID"/>
        </w:rPr>
        <w:t>,</w:t>
      </w:r>
      <w:r w:rsidRPr="00366F3F">
        <w:rPr>
          <w:rFonts w:asciiTheme="minorHAnsi" w:hAnsiTheme="minorHAnsi" w:cstheme="minorHAnsi"/>
          <w:sz w:val="22"/>
          <w:szCs w:val="22"/>
        </w:rPr>
        <w:t xml:space="preserve"> Benny</w:t>
      </w:r>
      <w:r w:rsidRPr="00366F3F">
        <w:rPr>
          <w:rFonts w:asciiTheme="minorHAnsi" w:hAnsiTheme="minorHAnsi" w:cstheme="minorHAnsi"/>
          <w:sz w:val="22"/>
          <w:szCs w:val="22"/>
          <w:lang w:val="id-ID"/>
        </w:rPr>
        <w:t xml:space="preserve"> </w:t>
      </w:r>
      <w:r w:rsidR="001A7261" w:rsidRPr="00366F3F">
        <w:rPr>
          <w:rFonts w:asciiTheme="minorHAnsi" w:hAnsiTheme="minorHAnsi" w:cstheme="minorHAnsi"/>
          <w:sz w:val="22"/>
          <w:szCs w:val="22"/>
        </w:rPr>
        <w:t xml:space="preserve">R. </w:t>
      </w:r>
      <w:r w:rsidRPr="00E93F16">
        <w:rPr>
          <w:rFonts w:asciiTheme="minorHAnsi" w:hAnsiTheme="minorHAnsi" w:cstheme="minorHAnsi"/>
          <w:iCs/>
          <w:sz w:val="22"/>
          <w:szCs w:val="22"/>
        </w:rPr>
        <w:t xml:space="preserve">Methicilin </w:t>
      </w:r>
      <w:r w:rsidR="00E93F16" w:rsidRPr="00E93F16">
        <w:rPr>
          <w:rFonts w:asciiTheme="minorHAnsi" w:hAnsiTheme="minorHAnsi" w:cstheme="minorHAnsi"/>
          <w:iCs/>
          <w:sz w:val="22"/>
          <w:szCs w:val="22"/>
        </w:rPr>
        <w:t>r</w:t>
      </w:r>
      <w:r w:rsidRPr="00E93F16">
        <w:rPr>
          <w:rFonts w:asciiTheme="minorHAnsi" w:hAnsiTheme="minorHAnsi" w:cstheme="minorHAnsi"/>
          <w:iCs/>
          <w:sz w:val="22"/>
          <w:szCs w:val="22"/>
        </w:rPr>
        <w:t>esistent Staphylococcus aureus</w:t>
      </w:r>
      <w:r w:rsidRPr="00366F3F">
        <w:rPr>
          <w:rFonts w:asciiTheme="minorHAnsi" w:hAnsiTheme="minorHAnsi" w:cstheme="minorHAnsi"/>
          <w:i/>
          <w:sz w:val="22"/>
          <w:szCs w:val="22"/>
        </w:rPr>
        <w:t>,</w:t>
      </w:r>
      <w:r w:rsidRPr="00366F3F">
        <w:rPr>
          <w:rFonts w:asciiTheme="minorHAnsi" w:hAnsiTheme="minorHAnsi" w:cstheme="minorHAnsi"/>
          <w:sz w:val="22"/>
          <w:szCs w:val="22"/>
        </w:rPr>
        <w:t xml:space="preserve"> </w:t>
      </w:r>
      <w:r w:rsidR="00E93F16" w:rsidRPr="00366F3F">
        <w:rPr>
          <w:rFonts w:asciiTheme="minorHAnsi" w:hAnsiTheme="minorHAnsi" w:cstheme="minorHAnsi"/>
          <w:sz w:val="22"/>
          <w:szCs w:val="22"/>
        </w:rPr>
        <w:t>antimicrobial susceptibility laboratory test</w:t>
      </w:r>
      <w:r w:rsidRPr="00366F3F">
        <w:rPr>
          <w:rFonts w:asciiTheme="minorHAnsi" w:hAnsiTheme="minorHAnsi" w:cstheme="minorHAnsi"/>
          <w:sz w:val="22"/>
          <w:szCs w:val="22"/>
        </w:rPr>
        <w:t>. Indonesian Journal of Clinical Pathology and Medical Laboratory</w:t>
      </w:r>
      <w:r w:rsidR="001A7261" w:rsidRPr="00366F3F">
        <w:rPr>
          <w:rFonts w:asciiTheme="minorHAnsi" w:hAnsiTheme="minorHAnsi" w:cstheme="minorHAnsi"/>
          <w:sz w:val="22"/>
          <w:szCs w:val="22"/>
          <w:lang w:val="id-ID"/>
        </w:rPr>
        <w:t>.</w:t>
      </w:r>
      <w:r w:rsidR="00E93F16">
        <w:rPr>
          <w:rFonts w:asciiTheme="minorHAnsi" w:hAnsiTheme="minorHAnsi" w:cstheme="minorHAnsi"/>
          <w:sz w:val="22"/>
          <w:szCs w:val="22"/>
        </w:rPr>
        <w:t xml:space="preserve"> </w:t>
      </w:r>
      <w:r w:rsidR="001A7261" w:rsidRPr="00366F3F">
        <w:rPr>
          <w:rFonts w:asciiTheme="minorHAnsi" w:hAnsiTheme="minorHAnsi" w:cstheme="minorHAnsi"/>
          <w:sz w:val="22"/>
          <w:szCs w:val="22"/>
          <w:lang w:val="id-ID"/>
        </w:rPr>
        <w:t>2010</w:t>
      </w:r>
      <w:r w:rsidR="00E93F16">
        <w:rPr>
          <w:rFonts w:asciiTheme="minorHAnsi" w:hAnsiTheme="minorHAnsi" w:cstheme="minorHAnsi"/>
          <w:sz w:val="22"/>
          <w:szCs w:val="22"/>
        </w:rPr>
        <w:t>; 17(1):</w:t>
      </w:r>
      <w:r w:rsidRPr="00366F3F">
        <w:rPr>
          <w:rFonts w:asciiTheme="minorHAnsi" w:hAnsiTheme="minorHAnsi" w:cstheme="minorHAnsi"/>
          <w:sz w:val="22"/>
          <w:szCs w:val="22"/>
        </w:rPr>
        <w:t>5-8.</w:t>
      </w:r>
    </w:p>
    <w:p w:rsidR="00462242" w:rsidRPr="00366F3F" w:rsidRDefault="001A7261"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Jawetz, Melnick, Adelbergs.</w:t>
      </w:r>
      <w:r w:rsidR="00462242" w:rsidRPr="00366F3F">
        <w:rPr>
          <w:rFonts w:asciiTheme="minorHAnsi" w:hAnsiTheme="minorHAnsi" w:cstheme="minorHAnsi"/>
          <w:sz w:val="22"/>
          <w:szCs w:val="22"/>
        </w:rPr>
        <w:t xml:space="preserve"> Mikrobiologi </w:t>
      </w:r>
      <w:r w:rsidR="00E93F16">
        <w:rPr>
          <w:rFonts w:asciiTheme="minorHAnsi" w:hAnsiTheme="minorHAnsi" w:cstheme="minorHAnsi"/>
          <w:sz w:val="22"/>
          <w:szCs w:val="22"/>
        </w:rPr>
        <w:t>k</w:t>
      </w:r>
      <w:r w:rsidR="00462242" w:rsidRPr="00366F3F">
        <w:rPr>
          <w:rFonts w:asciiTheme="minorHAnsi" w:hAnsiTheme="minorHAnsi" w:cstheme="minorHAnsi"/>
          <w:sz w:val="22"/>
          <w:szCs w:val="22"/>
        </w:rPr>
        <w:t>edokteran. Penerjemah dan editor bagian Mikrobi</w:t>
      </w:r>
      <w:r w:rsidR="00E93F16">
        <w:rPr>
          <w:rFonts w:asciiTheme="minorHAnsi" w:hAnsiTheme="minorHAnsi" w:cstheme="minorHAnsi"/>
          <w:sz w:val="22"/>
          <w:szCs w:val="22"/>
        </w:rPr>
        <w:t xml:space="preserve">ologi FK Universitas Airlangga. Jakarta: Salemba Medika; </w:t>
      </w:r>
      <w:r w:rsidRPr="00366F3F">
        <w:rPr>
          <w:rFonts w:asciiTheme="minorHAnsi" w:hAnsiTheme="minorHAnsi" w:cstheme="minorHAnsi"/>
          <w:sz w:val="22"/>
          <w:szCs w:val="22"/>
          <w:lang w:val="id-ID"/>
        </w:rPr>
        <w:t>2005</w:t>
      </w:r>
      <w:r w:rsidR="00E93F16">
        <w:rPr>
          <w:rFonts w:asciiTheme="minorHAnsi" w:hAnsiTheme="minorHAnsi" w:cstheme="minorHAnsi"/>
          <w:sz w:val="22"/>
          <w:szCs w:val="22"/>
        </w:rPr>
        <w:t>.</w:t>
      </w:r>
    </w:p>
    <w:p w:rsidR="00462242" w:rsidRPr="00366F3F" w:rsidRDefault="00462242"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Syahrurahman</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A, Chatim</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A, Soebandrio</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A, Santoso, Harun</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H, Bela</w:t>
      </w:r>
      <w:r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rPr>
        <w:t xml:space="preserve">B, </w:t>
      </w:r>
      <w:r w:rsidR="00E93F16">
        <w:rPr>
          <w:rFonts w:asciiTheme="minorHAnsi" w:hAnsiTheme="minorHAnsi" w:cstheme="minorHAnsi"/>
          <w:sz w:val="22"/>
          <w:szCs w:val="22"/>
        </w:rPr>
        <w:t>et al</w:t>
      </w:r>
      <w:r w:rsidRPr="00366F3F">
        <w:rPr>
          <w:rFonts w:asciiTheme="minorHAnsi" w:hAnsiTheme="minorHAnsi" w:cstheme="minorHAnsi"/>
          <w:sz w:val="22"/>
          <w:szCs w:val="22"/>
        </w:rPr>
        <w:t>. Bu</w:t>
      </w:r>
      <w:r w:rsidR="00E93F16">
        <w:rPr>
          <w:rFonts w:asciiTheme="minorHAnsi" w:hAnsiTheme="minorHAnsi" w:cstheme="minorHAnsi"/>
          <w:sz w:val="22"/>
          <w:szCs w:val="22"/>
        </w:rPr>
        <w:t xml:space="preserve">ku </w:t>
      </w:r>
      <w:r w:rsidR="00E93F16">
        <w:rPr>
          <w:rFonts w:asciiTheme="minorHAnsi" w:hAnsiTheme="minorHAnsi" w:cstheme="minorHAnsi"/>
          <w:sz w:val="22"/>
          <w:szCs w:val="22"/>
        </w:rPr>
        <w:lastRenderedPageBreak/>
        <w:t>ajar mikrobiologi kedokteran.</w:t>
      </w:r>
      <w:r w:rsidRPr="00366F3F">
        <w:rPr>
          <w:rFonts w:asciiTheme="minorHAnsi" w:hAnsiTheme="minorHAnsi" w:cstheme="minorHAnsi"/>
          <w:sz w:val="22"/>
          <w:szCs w:val="22"/>
        </w:rPr>
        <w:t xml:space="preserve"> Fakultas Kedokteran Universitas Indon</w:t>
      </w:r>
      <w:r w:rsidR="00E93F16">
        <w:rPr>
          <w:rFonts w:asciiTheme="minorHAnsi" w:hAnsiTheme="minorHAnsi" w:cstheme="minorHAnsi"/>
          <w:sz w:val="22"/>
          <w:szCs w:val="22"/>
        </w:rPr>
        <w:t xml:space="preserve">esia: Binarupa Aksara; </w:t>
      </w:r>
      <w:r w:rsidR="001A7261" w:rsidRPr="00366F3F">
        <w:rPr>
          <w:rFonts w:asciiTheme="minorHAnsi" w:hAnsiTheme="minorHAnsi" w:cstheme="minorHAnsi"/>
          <w:sz w:val="22"/>
          <w:szCs w:val="22"/>
        </w:rPr>
        <w:t>2010</w:t>
      </w:r>
      <w:r w:rsidR="00E93F16">
        <w:rPr>
          <w:rFonts w:asciiTheme="minorHAnsi" w:hAnsiTheme="minorHAnsi" w:cstheme="minorHAnsi"/>
          <w:sz w:val="22"/>
          <w:szCs w:val="22"/>
        </w:rPr>
        <w:t>.</w:t>
      </w:r>
    </w:p>
    <w:p w:rsidR="00E0140C" w:rsidRPr="00366F3F" w:rsidRDefault="009D7D0F"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National Committee for Clinical Laboratory Standards (NCCLS). Performance standards for antimicrobial disk susceptibility testing. Approved standard M100-S11. Wayne, Pa: NCCLS. 200</w:t>
      </w:r>
      <w:r w:rsidR="00EF0E07">
        <w:rPr>
          <w:rFonts w:asciiTheme="minorHAnsi" w:hAnsiTheme="minorHAnsi" w:cstheme="minorHAnsi"/>
          <w:sz w:val="22"/>
          <w:szCs w:val="22"/>
          <w:lang w:val="id-ID"/>
        </w:rPr>
        <w:t>5</w:t>
      </w:r>
      <w:r w:rsidRPr="00366F3F">
        <w:rPr>
          <w:rFonts w:asciiTheme="minorHAnsi" w:hAnsiTheme="minorHAnsi" w:cstheme="minorHAnsi"/>
          <w:sz w:val="22"/>
          <w:szCs w:val="22"/>
        </w:rPr>
        <w:t>.</w:t>
      </w:r>
      <w:r w:rsidR="00E0140C" w:rsidRPr="00366F3F">
        <w:rPr>
          <w:rFonts w:asciiTheme="minorHAnsi" w:hAnsiTheme="minorHAnsi" w:cstheme="minorHAnsi"/>
          <w:sz w:val="22"/>
          <w:szCs w:val="22"/>
        </w:rPr>
        <w:t xml:space="preserve"> </w:t>
      </w:r>
    </w:p>
    <w:p w:rsidR="00A475C0" w:rsidRPr="00366F3F" w:rsidRDefault="00E0140C"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 xml:space="preserve">Endriani R, Supardi I, Sudigdoadi S, Wartadewi. Penentuan </w:t>
      </w:r>
      <w:r w:rsidR="00E93F16" w:rsidRPr="00366F3F">
        <w:rPr>
          <w:rFonts w:asciiTheme="minorHAnsi" w:hAnsiTheme="minorHAnsi" w:cstheme="minorHAnsi"/>
          <w:sz w:val="22"/>
          <w:szCs w:val="22"/>
        </w:rPr>
        <w:t>konsentrasi hambat minimal</w:t>
      </w:r>
      <w:r w:rsidRPr="00366F3F">
        <w:rPr>
          <w:rFonts w:asciiTheme="minorHAnsi" w:hAnsiTheme="minorHAnsi" w:cstheme="minorHAnsi"/>
          <w:sz w:val="22"/>
          <w:szCs w:val="22"/>
        </w:rPr>
        <w:t xml:space="preserve"> (KHM), </w:t>
      </w:r>
      <w:r w:rsidR="00E93F16" w:rsidRPr="00366F3F">
        <w:rPr>
          <w:rFonts w:asciiTheme="minorHAnsi" w:hAnsiTheme="minorHAnsi" w:cstheme="minorHAnsi"/>
          <w:sz w:val="22"/>
          <w:szCs w:val="22"/>
        </w:rPr>
        <w:t xml:space="preserve">konsentrasi bunuh minimal </w:t>
      </w:r>
      <w:r w:rsidRPr="00366F3F">
        <w:rPr>
          <w:rFonts w:asciiTheme="minorHAnsi" w:hAnsiTheme="minorHAnsi" w:cstheme="minorHAnsi"/>
          <w:sz w:val="22"/>
          <w:szCs w:val="22"/>
        </w:rPr>
        <w:t xml:space="preserve">(KBM) </w:t>
      </w:r>
      <w:r w:rsidR="00810A39" w:rsidRPr="00366F3F">
        <w:rPr>
          <w:rFonts w:asciiTheme="minorHAnsi" w:hAnsiTheme="minorHAnsi" w:cstheme="minorHAnsi"/>
          <w:sz w:val="22"/>
          <w:szCs w:val="22"/>
        </w:rPr>
        <w:t>dan waktu kontak ekstrak bawang putih</w:t>
      </w:r>
      <w:r w:rsidRPr="00366F3F">
        <w:rPr>
          <w:rFonts w:asciiTheme="minorHAnsi" w:hAnsiTheme="minorHAnsi" w:cstheme="minorHAnsi"/>
          <w:sz w:val="22"/>
          <w:szCs w:val="22"/>
        </w:rPr>
        <w:t xml:space="preserve"> {A. sativum) </w:t>
      </w:r>
      <w:r w:rsidR="00810A39" w:rsidRPr="00366F3F">
        <w:rPr>
          <w:rFonts w:asciiTheme="minorHAnsi" w:hAnsiTheme="minorHAnsi" w:cstheme="minorHAnsi"/>
          <w:sz w:val="22"/>
          <w:szCs w:val="22"/>
        </w:rPr>
        <w:t>dibandingkan dengan eugenol terhadap</w:t>
      </w:r>
      <w:r w:rsidRPr="00366F3F">
        <w:rPr>
          <w:rFonts w:asciiTheme="minorHAnsi" w:hAnsiTheme="minorHAnsi" w:cstheme="minorHAnsi"/>
          <w:sz w:val="22"/>
          <w:szCs w:val="22"/>
        </w:rPr>
        <w:t xml:space="preserve"> </w:t>
      </w:r>
      <w:r w:rsidRPr="00810A39">
        <w:rPr>
          <w:rFonts w:asciiTheme="minorHAnsi" w:hAnsiTheme="minorHAnsi" w:cstheme="minorHAnsi"/>
          <w:iCs/>
          <w:sz w:val="22"/>
          <w:szCs w:val="22"/>
        </w:rPr>
        <w:t>S. mutans</w:t>
      </w:r>
      <w:r w:rsidRPr="00366F3F">
        <w:rPr>
          <w:rFonts w:asciiTheme="minorHAnsi" w:hAnsiTheme="minorHAnsi" w:cstheme="minorHAnsi"/>
          <w:sz w:val="22"/>
          <w:szCs w:val="22"/>
        </w:rPr>
        <w:t xml:space="preserve"> </w:t>
      </w:r>
      <w:r w:rsidR="00810A39" w:rsidRPr="00366F3F">
        <w:rPr>
          <w:rFonts w:asciiTheme="minorHAnsi" w:hAnsiTheme="minorHAnsi" w:cstheme="minorHAnsi"/>
          <w:sz w:val="22"/>
          <w:szCs w:val="22"/>
        </w:rPr>
        <w:t>secara in vitro</w:t>
      </w:r>
      <w:r w:rsidRPr="00366F3F">
        <w:rPr>
          <w:rFonts w:asciiTheme="minorHAnsi" w:hAnsiTheme="minorHAnsi" w:cstheme="minorHAnsi"/>
          <w:sz w:val="22"/>
          <w:szCs w:val="22"/>
        </w:rPr>
        <w:t>. JIK</w:t>
      </w:r>
      <w:r w:rsidR="00810A39">
        <w:rPr>
          <w:rFonts w:asciiTheme="minorHAnsi" w:hAnsiTheme="minorHAnsi" w:cstheme="minorHAnsi"/>
          <w:sz w:val="22"/>
          <w:szCs w:val="22"/>
        </w:rPr>
        <w:t>.</w:t>
      </w:r>
      <w:r w:rsidRPr="00366F3F">
        <w:rPr>
          <w:rFonts w:asciiTheme="minorHAnsi" w:hAnsiTheme="minorHAnsi" w:cstheme="minorHAnsi"/>
          <w:sz w:val="22"/>
          <w:szCs w:val="22"/>
        </w:rPr>
        <w:t xml:space="preserve"> 2007; 1:30-5.</w:t>
      </w:r>
    </w:p>
    <w:p w:rsidR="00E0140C" w:rsidRPr="00366F3F" w:rsidRDefault="00810A39" w:rsidP="00E93F16">
      <w:pPr>
        <w:pStyle w:val="ListParagraph"/>
        <w:numPr>
          <w:ilvl w:val="0"/>
          <w:numId w:val="18"/>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WHO. </w:t>
      </w:r>
      <w:r w:rsidR="00251BE4" w:rsidRPr="00366F3F">
        <w:rPr>
          <w:rFonts w:asciiTheme="minorHAnsi" w:hAnsiTheme="minorHAnsi" w:cstheme="minorHAnsi"/>
          <w:sz w:val="22"/>
          <w:szCs w:val="22"/>
        </w:rPr>
        <w:t>M</w:t>
      </w:r>
      <w:r>
        <w:rPr>
          <w:rFonts w:asciiTheme="minorHAnsi" w:hAnsiTheme="minorHAnsi" w:cstheme="minorHAnsi"/>
          <w:sz w:val="22"/>
          <w:szCs w:val="22"/>
        </w:rPr>
        <w:t>onitoring of antimicrobial resis</w:t>
      </w:r>
      <w:r w:rsidRPr="00366F3F">
        <w:rPr>
          <w:rFonts w:asciiTheme="minorHAnsi" w:hAnsiTheme="minorHAnsi" w:cstheme="minorHAnsi"/>
          <w:sz w:val="22"/>
          <w:szCs w:val="22"/>
        </w:rPr>
        <w:t>tance</w:t>
      </w:r>
      <w:r w:rsidR="00251BE4" w:rsidRPr="00366F3F">
        <w:rPr>
          <w:rFonts w:asciiTheme="minorHAnsi" w:hAnsiTheme="minorHAnsi" w:cstheme="minorHAnsi"/>
          <w:sz w:val="22"/>
          <w:szCs w:val="22"/>
        </w:rPr>
        <w:t>. Project: ICP BCT 001. Report of an Intercountry Works</w:t>
      </w:r>
      <w:r>
        <w:rPr>
          <w:rFonts w:asciiTheme="minorHAnsi" w:hAnsiTheme="minorHAnsi" w:cstheme="minorHAnsi"/>
          <w:sz w:val="22"/>
          <w:szCs w:val="22"/>
        </w:rPr>
        <w:t xml:space="preserve">hop Vellore, Tamil Nadu, India. </w:t>
      </w:r>
      <w:r w:rsidR="00251BE4" w:rsidRPr="00366F3F">
        <w:rPr>
          <w:rFonts w:asciiTheme="minorHAnsi" w:hAnsiTheme="minorHAnsi" w:cstheme="minorHAnsi"/>
          <w:sz w:val="22"/>
          <w:szCs w:val="22"/>
        </w:rPr>
        <w:t>2006.</w:t>
      </w:r>
    </w:p>
    <w:p w:rsidR="00251BE4" w:rsidRPr="00366F3F" w:rsidRDefault="008940B1" w:rsidP="00810A39">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lang w:val="id-ID"/>
        </w:rPr>
        <w:t xml:space="preserve">Al-ani I, Zimmerman S, Reichling J, Wink M. Pharmacological sinergism of bee and plant secondary metabolites against multi-drugs resistants microbial pathogens. </w:t>
      </w:r>
      <w:r w:rsidR="00810A39" w:rsidRPr="00366F3F">
        <w:rPr>
          <w:rFonts w:asciiTheme="minorHAnsi" w:hAnsiTheme="minorHAnsi" w:cstheme="minorHAnsi"/>
          <w:sz w:val="22"/>
          <w:szCs w:val="22"/>
          <w:lang w:val="id-ID"/>
        </w:rPr>
        <w:t>Elsevier</w:t>
      </w:r>
      <w:r w:rsidR="00810A39">
        <w:rPr>
          <w:rFonts w:asciiTheme="minorHAnsi" w:hAnsiTheme="minorHAnsi" w:cstheme="minorHAnsi"/>
          <w:sz w:val="22"/>
          <w:szCs w:val="22"/>
        </w:rPr>
        <w:t>.</w:t>
      </w:r>
      <w:r w:rsidR="00810A39" w:rsidRPr="00366F3F">
        <w:rPr>
          <w:rFonts w:asciiTheme="minorHAnsi" w:hAnsiTheme="minorHAnsi" w:cstheme="minorHAnsi"/>
          <w:sz w:val="22"/>
          <w:szCs w:val="22"/>
          <w:lang w:val="id-ID"/>
        </w:rPr>
        <w:t xml:space="preserve"> </w:t>
      </w:r>
      <w:r w:rsidRPr="00366F3F">
        <w:rPr>
          <w:rFonts w:asciiTheme="minorHAnsi" w:hAnsiTheme="minorHAnsi" w:cstheme="minorHAnsi"/>
          <w:sz w:val="22"/>
          <w:szCs w:val="22"/>
          <w:lang w:val="id-ID"/>
        </w:rPr>
        <w:t>2015</w:t>
      </w:r>
      <w:r w:rsidR="00810A39">
        <w:rPr>
          <w:rFonts w:asciiTheme="minorHAnsi" w:hAnsiTheme="minorHAnsi" w:cstheme="minorHAnsi"/>
          <w:sz w:val="22"/>
          <w:szCs w:val="22"/>
        </w:rPr>
        <w:t xml:space="preserve">; </w:t>
      </w:r>
      <w:r w:rsidR="00810A39">
        <w:rPr>
          <w:rFonts w:asciiTheme="minorHAnsi" w:hAnsiTheme="minorHAnsi" w:cstheme="minorHAnsi"/>
          <w:sz w:val="22"/>
          <w:szCs w:val="22"/>
          <w:lang w:val="id-ID"/>
        </w:rPr>
        <w:t>22</w:t>
      </w:r>
      <w:r w:rsidR="00810A39">
        <w:rPr>
          <w:rFonts w:asciiTheme="minorHAnsi" w:hAnsiTheme="minorHAnsi" w:cstheme="minorHAnsi"/>
          <w:sz w:val="22"/>
          <w:szCs w:val="22"/>
        </w:rPr>
        <w:t>(</w:t>
      </w:r>
      <w:r w:rsidR="00810A39">
        <w:rPr>
          <w:rFonts w:asciiTheme="minorHAnsi" w:hAnsiTheme="minorHAnsi" w:cstheme="minorHAnsi"/>
          <w:sz w:val="22"/>
          <w:szCs w:val="22"/>
          <w:lang w:val="id-ID"/>
        </w:rPr>
        <w:t>2</w:t>
      </w:r>
      <w:r w:rsidR="00810A39">
        <w:rPr>
          <w:rFonts w:asciiTheme="minorHAnsi" w:hAnsiTheme="minorHAnsi" w:cstheme="minorHAnsi"/>
          <w:sz w:val="22"/>
          <w:szCs w:val="22"/>
        </w:rPr>
        <w:t>):</w:t>
      </w:r>
      <w:r w:rsidRPr="00366F3F">
        <w:rPr>
          <w:rFonts w:asciiTheme="minorHAnsi" w:hAnsiTheme="minorHAnsi" w:cstheme="minorHAnsi"/>
          <w:sz w:val="22"/>
          <w:szCs w:val="22"/>
          <w:lang w:val="id-ID"/>
        </w:rPr>
        <w:t>245-55.</w:t>
      </w:r>
    </w:p>
    <w:p w:rsidR="00B43815" w:rsidRPr="00566618" w:rsidRDefault="00251BE4" w:rsidP="00E93F16">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rPr>
        <w:t xml:space="preserve">I.Winn WS et al. Gram-Positive Cocci. Dalam: Koneman's </w:t>
      </w:r>
      <w:r w:rsidR="00810A39" w:rsidRPr="00366F3F">
        <w:rPr>
          <w:rFonts w:asciiTheme="minorHAnsi" w:hAnsiTheme="minorHAnsi" w:cstheme="minorHAnsi"/>
          <w:sz w:val="22"/>
          <w:szCs w:val="22"/>
        </w:rPr>
        <w:t>color atlas and textbook of diagnostic microbiology</w:t>
      </w:r>
      <w:r w:rsidRPr="00366F3F">
        <w:rPr>
          <w:rFonts w:asciiTheme="minorHAnsi" w:hAnsiTheme="minorHAnsi" w:cstheme="minorHAnsi"/>
          <w:sz w:val="22"/>
          <w:szCs w:val="22"/>
        </w:rPr>
        <w:t>. 6"" Edition. Philadephia: Lippincott Williams</w:t>
      </w:r>
      <w:r w:rsidR="00810A39">
        <w:rPr>
          <w:rFonts w:asciiTheme="minorHAnsi" w:hAnsiTheme="minorHAnsi" w:cstheme="minorHAnsi"/>
          <w:sz w:val="22"/>
          <w:szCs w:val="22"/>
        </w:rPr>
        <w:t xml:space="preserve"> </w:t>
      </w:r>
      <w:r w:rsidRPr="00366F3F">
        <w:rPr>
          <w:rFonts w:asciiTheme="minorHAnsi" w:hAnsiTheme="minorHAnsi" w:cstheme="minorHAnsi"/>
          <w:sz w:val="22"/>
          <w:szCs w:val="22"/>
        </w:rPr>
        <w:t>&amp;</w:t>
      </w:r>
      <w:r w:rsidR="00810A39">
        <w:rPr>
          <w:rFonts w:asciiTheme="minorHAnsi" w:hAnsiTheme="minorHAnsi" w:cstheme="minorHAnsi"/>
          <w:sz w:val="22"/>
          <w:szCs w:val="22"/>
        </w:rPr>
        <w:t xml:space="preserve"> Wilkins; 2006. </w:t>
      </w:r>
      <w:r w:rsidR="00B43815" w:rsidRPr="00366F3F">
        <w:rPr>
          <w:rFonts w:asciiTheme="minorHAnsi" w:hAnsiTheme="minorHAnsi" w:cstheme="minorHAnsi"/>
          <w:sz w:val="22"/>
          <w:szCs w:val="22"/>
          <w:lang w:val="id-ID"/>
        </w:rPr>
        <w:t xml:space="preserve"> </w:t>
      </w:r>
    </w:p>
    <w:commentRangeStart w:id="1"/>
    <w:p w:rsidR="00253213" w:rsidRPr="00253213" w:rsidRDefault="00566618" w:rsidP="00253213">
      <w:pPr>
        <w:pStyle w:val="ListParagraph"/>
        <w:numPr>
          <w:ilvl w:val="0"/>
          <w:numId w:val="18"/>
        </w:numPr>
        <w:ind w:left="426" w:hanging="426"/>
        <w:jc w:val="both"/>
        <w:rPr>
          <w:rFonts w:asciiTheme="minorHAnsi" w:hAnsiTheme="minorHAnsi" w:cstheme="minorHAnsi"/>
          <w:sz w:val="22"/>
          <w:szCs w:val="22"/>
        </w:rPr>
      </w:pPr>
      <w:r w:rsidRPr="00253213">
        <w:rPr>
          <w:sz w:val="22"/>
          <w:szCs w:val="22"/>
        </w:rPr>
        <w:fldChar w:fldCharType="begin"/>
      </w:r>
      <w:r w:rsidRPr="00253213">
        <w:rPr>
          <w:sz w:val="22"/>
          <w:szCs w:val="22"/>
        </w:rPr>
        <w:instrText>HYPERLINK "http://www.sribioservices.com/time_kill_set_inhibitory_concentration.htm"</w:instrText>
      </w:r>
      <w:r w:rsidRPr="00253213">
        <w:rPr>
          <w:sz w:val="22"/>
          <w:szCs w:val="22"/>
        </w:rPr>
        <w:fldChar w:fldCharType="separate"/>
      </w:r>
      <w:r w:rsidR="00253213">
        <w:rPr>
          <w:sz w:val="22"/>
          <w:szCs w:val="22"/>
          <w:lang w:val="id-ID"/>
        </w:rPr>
        <w:t>Minimum inhibitory concentration</w:t>
      </w:r>
      <w:r w:rsidR="00CB37F1">
        <w:rPr>
          <w:sz w:val="22"/>
          <w:szCs w:val="22"/>
          <w:lang w:val="id-ID"/>
        </w:rPr>
        <w:t>. Diakses dari :</w:t>
      </w:r>
      <w:r w:rsidR="00CB37F1" w:rsidRPr="00253213">
        <w:rPr>
          <w:rStyle w:val="Hyperlink"/>
          <w:rFonts w:asciiTheme="minorHAnsi" w:hAnsiTheme="minorHAnsi" w:cstheme="minorHAnsi"/>
          <w:sz w:val="22"/>
          <w:szCs w:val="22"/>
        </w:rPr>
        <w:t xml:space="preserve"> </w:t>
      </w:r>
      <w:r w:rsidRPr="00253213">
        <w:rPr>
          <w:sz w:val="22"/>
          <w:szCs w:val="22"/>
        </w:rPr>
        <w:fldChar w:fldCharType="end"/>
      </w:r>
      <w:commentRangeEnd w:id="1"/>
      <w:r w:rsidRPr="00253213">
        <w:rPr>
          <w:rStyle w:val="CommentReference"/>
          <w:rFonts w:asciiTheme="minorHAnsi" w:eastAsiaTheme="minorHAnsi" w:hAnsiTheme="minorHAnsi" w:cstheme="minorBidi"/>
          <w:sz w:val="22"/>
          <w:szCs w:val="22"/>
          <w:lang w:val="id-ID"/>
        </w:rPr>
        <w:commentReference w:id="1"/>
      </w:r>
      <w:hyperlink r:id="rId15" w:history="1">
        <w:r w:rsidR="00CB37F1" w:rsidRPr="008C1B49">
          <w:rPr>
            <w:rStyle w:val="Hyperlink"/>
            <w:sz w:val="22"/>
            <w:szCs w:val="22"/>
          </w:rPr>
          <w:t>https://muhammadcank.wordpress.com/2010/03/19/uji-micminimum-inhibitory-concentration</w:t>
        </w:r>
      </w:hyperlink>
      <w:r w:rsidR="00CB37F1">
        <w:rPr>
          <w:sz w:val="22"/>
          <w:szCs w:val="22"/>
          <w:lang w:val="id-ID"/>
        </w:rPr>
        <w:t>. 5 maret 2015.</w:t>
      </w:r>
    </w:p>
    <w:p w:rsidR="00153ED3" w:rsidRPr="00253213" w:rsidRDefault="008F4C98" w:rsidP="00253213">
      <w:pPr>
        <w:pStyle w:val="ListParagraph"/>
        <w:numPr>
          <w:ilvl w:val="0"/>
          <w:numId w:val="18"/>
        </w:numPr>
        <w:ind w:left="426" w:hanging="426"/>
        <w:jc w:val="both"/>
        <w:rPr>
          <w:rFonts w:asciiTheme="minorHAnsi" w:hAnsiTheme="minorHAnsi" w:cstheme="minorHAnsi"/>
          <w:sz w:val="22"/>
          <w:szCs w:val="22"/>
        </w:rPr>
      </w:pPr>
      <w:r>
        <w:rPr>
          <w:rFonts w:asciiTheme="minorHAnsi" w:hAnsiTheme="minorHAnsi" w:cstheme="minorHAnsi"/>
          <w:sz w:val="22"/>
          <w:szCs w:val="22"/>
          <w:lang w:val="id-ID"/>
        </w:rPr>
        <w:t xml:space="preserve">Minimum inhibitory concentration. Diakses dari : </w:t>
      </w:r>
      <w:commentRangeStart w:id="2"/>
      <w:r w:rsidR="00153ED3" w:rsidRPr="00253213">
        <w:rPr>
          <w:rFonts w:asciiTheme="minorHAnsi" w:hAnsiTheme="minorHAnsi" w:cstheme="minorHAnsi"/>
          <w:sz w:val="22"/>
          <w:szCs w:val="22"/>
        </w:rPr>
        <w:t>http://www.google.com/images?hnqminimum inhibitory concentration&amp;um</w:t>
      </w:r>
      <w:commentRangeEnd w:id="2"/>
      <w:r w:rsidR="00153ED3" w:rsidRPr="00253213">
        <w:rPr>
          <w:rStyle w:val="CommentReference"/>
          <w:rFonts w:asciiTheme="minorHAnsi" w:eastAsiaTheme="minorHAnsi" w:hAnsiTheme="minorHAnsi" w:cstheme="minorBidi"/>
          <w:sz w:val="22"/>
          <w:szCs w:val="22"/>
          <w:lang w:val="id-ID"/>
        </w:rPr>
        <w:commentReference w:id="2"/>
      </w:r>
      <w:r>
        <w:rPr>
          <w:rFonts w:asciiTheme="minorHAnsi" w:hAnsiTheme="minorHAnsi" w:cstheme="minorHAnsi"/>
          <w:sz w:val="22"/>
          <w:szCs w:val="22"/>
          <w:lang w:val="id-ID"/>
        </w:rPr>
        <w:t>. 6 Maret 2015</w:t>
      </w:r>
    </w:p>
    <w:p w:rsidR="00153ED3" w:rsidRPr="00366F3F" w:rsidRDefault="00153ED3" w:rsidP="00153ED3">
      <w:pPr>
        <w:pStyle w:val="ListParagraph"/>
        <w:ind w:left="426"/>
        <w:jc w:val="both"/>
        <w:rPr>
          <w:rFonts w:asciiTheme="minorHAnsi" w:hAnsiTheme="minorHAnsi" w:cstheme="minorHAnsi"/>
          <w:sz w:val="22"/>
          <w:szCs w:val="22"/>
        </w:rPr>
      </w:pPr>
    </w:p>
    <w:p w:rsidR="00B43815" w:rsidRPr="00D01EDD" w:rsidRDefault="00B43815" w:rsidP="00810A39">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sz w:val="22"/>
          <w:szCs w:val="22"/>
          <w:shd w:val="clear" w:color="auto" w:fill="FFFFFF"/>
        </w:rPr>
        <w:lastRenderedPageBreak/>
        <w:t>MR Oggioni,</w:t>
      </w:r>
      <w:r w:rsidRPr="00366F3F">
        <w:rPr>
          <w:rStyle w:val="apple-converted-space"/>
          <w:rFonts w:asciiTheme="minorHAnsi" w:hAnsiTheme="minorHAnsi" w:cstheme="minorHAnsi"/>
          <w:sz w:val="22"/>
          <w:szCs w:val="22"/>
          <w:shd w:val="clear" w:color="auto" w:fill="FFFFFF"/>
        </w:rPr>
        <w:t> </w:t>
      </w:r>
      <w:hyperlink r:id="rId16" w:history="1">
        <w:r w:rsidRPr="00366F3F">
          <w:rPr>
            <w:rStyle w:val="Hyperlink"/>
            <w:rFonts w:asciiTheme="minorHAnsi" w:hAnsiTheme="minorHAnsi" w:cstheme="minorHAnsi"/>
            <w:color w:val="auto"/>
            <w:sz w:val="22"/>
            <w:szCs w:val="22"/>
            <w:u w:val="none"/>
            <w:shd w:val="clear" w:color="auto" w:fill="FFFFFF"/>
          </w:rPr>
          <w:t>JR Coelho</w:t>
        </w:r>
      </w:hyperlink>
      <w:r w:rsidRPr="00366F3F">
        <w:rPr>
          <w:rFonts w:asciiTheme="minorHAnsi" w:hAnsiTheme="minorHAnsi" w:cstheme="minorHAnsi"/>
          <w:sz w:val="22"/>
          <w:szCs w:val="22"/>
          <w:shd w:val="clear" w:color="auto" w:fill="FFFFFF"/>
        </w:rPr>
        <w:t>,</w:t>
      </w:r>
      <w:r w:rsidRPr="00366F3F">
        <w:rPr>
          <w:rStyle w:val="apple-converted-space"/>
          <w:rFonts w:asciiTheme="minorHAnsi" w:hAnsiTheme="minorHAnsi" w:cstheme="minorHAnsi"/>
          <w:sz w:val="22"/>
          <w:szCs w:val="22"/>
          <w:shd w:val="clear" w:color="auto" w:fill="FFFFFF"/>
        </w:rPr>
        <w:t> </w:t>
      </w:r>
      <w:hyperlink r:id="rId17" w:history="1">
        <w:r w:rsidRPr="00366F3F">
          <w:rPr>
            <w:rStyle w:val="Hyperlink"/>
            <w:rFonts w:asciiTheme="minorHAnsi" w:hAnsiTheme="minorHAnsi" w:cstheme="minorHAnsi"/>
            <w:color w:val="auto"/>
            <w:sz w:val="22"/>
            <w:szCs w:val="22"/>
            <w:u w:val="none"/>
            <w:shd w:val="clear" w:color="auto" w:fill="FFFFFF"/>
          </w:rPr>
          <w:t>L Furi</w:t>
        </w:r>
      </w:hyperlink>
      <w:r w:rsidRPr="00366F3F">
        <w:rPr>
          <w:rFonts w:asciiTheme="minorHAnsi" w:hAnsiTheme="minorHAnsi" w:cstheme="minorHAnsi"/>
          <w:sz w:val="22"/>
          <w:szCs w:val="22"/>
          <w:shd w:val="clear" w:color="auto" w:fill="FFFFFF"/>
        </w:rPr>
        <w:t>,</w:t>
      </w:r>
      <w:r w:rsidRPr="00366F3F">
        <w:rPr>
          <w:rStyle w:val="apple-converted-space"/>
          <w:rFonts w:asciiTheme="minorHAnsi" w:hAnsiTheme="minorHAnsi" w:cstheme="minorHAnsi"/>
          <w:sz w:val="22"/>
          <w:szCs w:val="22"/>
          <w:shd w:val="clear" w:color="auto" w:fill="FFFFFF"/>
        </w:rPr>
        <w:t> </w:t>
      </w:r>
      <w:hyperlink r:id="rId18" w:history="1">
        <w:r w:rsidRPr="00366F3F">
          <w:rPr>
            <w:rStyle w:val="Hyperlink"/>
            <w:rFonts w:asciiTheme="minorHAnsi" w:hAnsiTheme="minorHAnsi" w:cstheme="minorHAnsi"/>
            <w:color w:val="auto"/>
            <w:sz w:val="22"/>
            <w:szCs w:val="22"/>
            <w:u w:val="none"/>
            <w:shd w:val="clear" w:color="auto" w:fill="FFFFFF"/>
          </w:rPr>
          <w:t>DR Knigh</w:t>
        </w:r>
      </w:hyperlink>
      <w:r w:rsidRPr="00366F3F">
        <w:rPr>
          <w:rFonts w:asciiTheme="minorHAnsi" w:hAnsiTheme="minorHAnsi" w:cstheme="minorHAnsi"/>
          <w:sz w:val="22"/>
          <w:szCs w:val="22"/>
          <w:lang w:val="id-ID"/>
        </w:rPr>
        <w:t>.</w:t>
      </w:r>
      <w:r w:rsidRPr="00366F3F">
        <w:rPr>
          <w:rFonts w:asciiTheme="minorHAnsi" w:hAnsiTheme="minorHAnsi" w:cstheme="minorHAnsi"/>
          <w:color w:val="000000"/>
          <w:sz w:val="22"/>
          <w:szCs w:val="22"/>
        </w:rPr>
        <w:t xml:space="preserve"> </w:t>
      </w:r>
      <w:r w:rsidR="001158C6" w:rsidRPr="00366F3F">
        <w:rPr>
          <w:rFonts w:asciiTheme="minorHAnsi" w:hAnsiTheme="minorHAnsi" w:cstheme="minorHAnsi"/>
          <w:color w:val="000000"/>
          <w:sz w:val="22"/>
          <w:szCs w:val="22"/>
        </w:rPr>
        <w:t xml:space="preserve">Significant </w:t>
      </w:r>
      <w:r w:rsidR="00810A39" w:rsidRPr="00366F3F">
        <w:rPr>
          <w:rFonts w:asciiTheme="minorHAnsi" w:hAnsiTheme="minorHAnsi" w:cstheme="minorHAnsi"/>
          <w:color w:val="000000"/>
          <w:sz w:val="22"/>
          <w:szCs w:val="22"/>
        </w:rPr>
        <w:t xml:space="preserve">differences characterise the correlation coefficients between biocide and antibiotic susceptibility profiles in </w:t>
      </w:r>
      <w:r w:rsidR="001158C6" w:rsidRPr="00366F3F">
        <w:rPr>
          <w:rFonts w:asciiTheme="minorHAnsi" w:hAnsiTheme="minorHAnsi" w:cstheme="minorHAnsi"/>
          <w:color w:val="000000"/>
          <w:sz w:val="22"/>
          <w:szCs w:val="22"/>
        </w:rPr>
        <w:t>Staphylococcus aureus.</w:t>
      </w:r>
      <w:r w:rsidRPr="00366F3F">
        <w:rPr>
          <w:rFonts w:asciiTheme="minorHAnsi" w:hAnsiTheme="minorHAnsi" w:cstheme="minorHAnsi"/>
          <w:color w:val="000000"/>
          <w:sz w:val="22"/>
          <w:szCs w:val="22"/>
          <w:lang w:val="id-ID"/>
        </w:rPr>
        <w:t xml:space="preserve"> Curr Pharm Des.</w:t>
      </w:r>
      <w:r w:rsidR="00810A39" w:rsidRPr="00810A39">
        <w:rPr>
          <w:rFonts w:asciiTheme="minorHAnsi" w:hAnsiTheme="minorHAnsi" w:cstheme="minorHAnsi"/>
          <w:color w:val="000000"/>
          <w:sz w:val="22"/>
          <w:szCs w:val="22"/>
          <w:lang w:val="id-ID"/>
        </w:rPr>
        <w:t xml:space="preserve"> </w:t>
      </w:r>
      <w:r w:rsidR="00810A39" w:rsidRPr="00366F3F">
        <w:rPr>
          <w:rFonts w:asciiTheme="minorHAnsi" w:hAnsiTheme="minorHAnsi" w:cstheme="minorHAnsi"/>
          <w:color w:val="000000"/>
          <w:sz w:val="22"/>
          <w:szCs w:val="22"/>
          <w:lang w:val="id-ID"/>
        </w:rPr>
        <w:t>2015.</w:t>
      </w:r>
    </w:p>
    <w:p w:rsidR="00D01EDD" w:rsidRPr="00D01EDD" w:rsidRDefault="00D01EDD" w:rsidP="00D01EDD">
      <w:pPr>
        <w:pStyle w:val="ListParagraph"/>
        <w:rPr>
          <w:rFonts w:asciiTheme="minorHAnsi" w:hAnsiTheme="minorHAnsi" w:cstheme="minorHAnsi"/>
          <w:sz w:val="22"/>
          <w:szCs w:val="22"/>
        </w:rPr>
      </w:pPr>
    </w:p>
    <w:p w:rsidR="00253213" w:rsidRPr="00CB37F1" w:rsidRDefault="00D01EDD" w:rsidP="00253213">
      <w:pPr>
        <w:pStyle w:val="ListParagraph"/>
        <w:numPr>
          <w:ilvl w:val="0"/>
          <w:numId w:val="18"/>
        </w:numPr>
        <w:ind w:left="426" w:hanging="426"/>
        <w:jc w:val="both"/>
        <w:rPr>
          <w:rFonts w:asciiTheme="minorHAnsi" w:hAnsiTheme="minorHAnsi" w:cstheme="minorHAnsi"/>
          <w:sz w:val="22"/>
          <w:szCs w:val="22"/>
        </w:rPr>
      </w:pPr>
      <w:r w:rsidRPr="00366F3F">
        <w:rPr>
          <w:rFonts w:asciiTheme="minorHAnsi" w:hAnsiTheme="minorHAnsi" w:cstheme="minorHAnsi"/>
          <w:color w:val="000000"/>
          <w:sz w:val="22"/>
          <w:szCs w:val="22"/>
          <w:shd w:val="clear" w:color="auto" w:fill="FFFFFF"/>
        </w:rPr>
        <w:t xml:space="preserve">Altun HU, Yagci S, Bulut C, Sahin H, Kinikli S, Adiloglu AK, </w:t>
      </w:r>
      <w:r>
        <w:rPr>
          <w:rFonts w:asciiTheme="minorHAnsi" w:hAnsiTheme="minorHAnsi" w:cstheme="minorHAnsi"/>
          <w:color w:val="000000"/>
          <w:sz w:val="22"/>
          <w:szCs w:val="22"/>
          <w:shd w:val="clear" w:color="auto" w:fill="FFFFFF"/>
        </w:rPr>
        <w:t>et al</w:t>
      </w:r>
      <w:r w:rsidRPr="00366F3F">
        <w:rPr>
          <w:rFonts w:asciiTheme="minorHAnsi" w:hAnsiTheme="minorHAnsi" w:cstheme="minorHAnsi"/>
          <w:color w:val="000000"/>
          <w:sz w:val="22"/>
          <w:szCs w:val="22"/>
          <w:shd w:val="clear" w:color="auto" w:fill="FFFFFF"/>
        </w:rPr>
        <w:t>.</w:t>
      </w:r>
      <w:r w:rsidRPr="00366F3F">
        <w:rPr>
          <w:rFonts w:asciiTheme="minorHAnsi" w:hAnsiTheme="minorHAnsi" w:cstheme="minorHAnsi"/>
          <w:color w:val="000000"/>
          <w:sz w:val="22"/>
          <w:szCs w:val="22"/>
        </w:rPr>
        <w:t xml:space="preserve"> Antimicrobial susceptibilities of clinical Acinetobacter baumannii isolates with different genotypes.</w:t>
      </w:r>
      <w:r w:rsidRPr="00366F3F">
        <w:rPr>
          <w:rFonts w:asciiTheme="minorHAnsi" w:hAnsiTheme="minorHAnsi" w:cstheme="minorHAnsi"/>
          <w:sz w:val="22"/>
          <w:szCs w:val="22"/>
          <w:lang w:val="id-ID"/>
        </w:rPr>
        <w:t xml:space="preserve"> </w:t>
      </w:r>
      <w:r w:rsidRPr="00366F3F">
        <w:rPr>
          <w:rStyle w:val="jrnl"/>
          <w:rFonts w:asciiTheme="minorHAnsi" w:hAnsiTheme="minorHAnsi" w:cstheme="minorHAnsi"/>
          <w:color w:val="000000"/>
          <w:sz w:val="22"/>
          <w:szCs w:val="22"/>
          <w:shd w:val="clear" w:color="auto" w:fill="FFFFFF"/>
        </w:rPr>
        <w:t>Jundishapur J Microbiol</w:t>
      </w:r>
      <w:r>
        <w:rPr>
          <w:rFonts w:asciiTheme="minorHAnsi" w:hAnsiTheme="minorHAnsi" w:cstheme="minorHAnsi"/>
          <w:color w:val="000000"/>
          <w:sz w:val="22"/>
          <w:szCs w:val="22"/>
          <w:shd w:val="clear" w:color="auto" w:fill="FFFFFF"/>
        </w:rPr>
        <w:t>. 2014</w:t>
      </w:r>
      <w:r w:rsidRPr="00366F3F">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Pr="00366F3F">
        <w:rPr>
          <w:rFonts w:asciiTheme="minorHAnsi" w:hAnsiTheme="minorHAnsi" w:cstheme="minorHAnsi"/>
          <w:color w:val="000000"/>
          <w:sz w:val="22"/>
          <w:szCs w:val="22"/>
          <w:shd w:val="clear" w:color="auto" w:fill="FFFFFF"/>
        </w:rPr>
        <w:t>7(12):e13347.</w:t>
      </w:r>
    </w:p>
    <w:p w:rsidR="00CB37F1" w:rsidRPr="00CB37F1" w:rsidRDefault="00CB37F1" w:rsidP="00CB37F1">
      <w:pPr>
        <w:pStyle w:val="ListParagraph"/>
        <w:rPr>
          <w:rFonts w:asciiTheme="minorHAnsi" w:hAnsiTheme="minorHAnsi" w:cstheme="minorHAnsi"/>
          <w:sz w:val="22"/>
          <w:szCs w:val="22"/>
        </w:rPr>
      </w:pPr>
    </w:p>
    <w:p w:rsidR="00CB37F1" w:rsidRPr="00253213" w:rsidRDefault="00CB37F1" w:rsidP="00253213">
      <w:pPr>
        <w:pStyle w:val="ListParagraph"/>
        <w:numPr>
          <w:ilvl w:val="0"/>
          <w:numId w:val="18"/>
        </w:numPr>
        <w:ind w:left="426" w:hanging="426"/>
        <w:jc w:val="both"/>
        <w:rPr>
          <w:rFonts w:asciiTheme="minorHAnsi" w:hAnsiTheme="minorHAnsi" w:cstheme="minorHAnsi"/>
          <w:sz w:val="22"/>
          <w:szCs w:val="22"/>
        </w:rPr>
      </w:pPr>
      <w:r>
        <w:rPr>
          <w:rFonts w:asciiTheme="minorHAnsi" w:hAnsiTheme="minorHAnsi" w:cstheme="minorHAnsi"/>
          <w:sz w:val="22"/>
          <w:szCs w:val="22"/>
          <w:lang w:val="id-ID"/>
        </w:rPr>
        <w:t>Pharmacodinamic of meropenem against enterobacteria. Diakses dari:</w:t>
      </w:r>
      <w:r w:rsidRPr="00CB37F1">
        <w:t xml:space="preserve"> </w:t>
      </w:r>
      <w:hyperlink r:id="rId19" w:history="1">
        <w:r w:rsidRPr="008C1B49">
          <w:rPr>
            <w:rStyle w:val="Hyperlink"/>
            <w:rFonts w:asciiTheme="minorHAnsi" w:hAnsiTheme="minorHAnsi" w:cstheme="minorHAnsi"/>
            <w:sz w:val="22"/>
            <w:szCs w:val="22"/>
            <w:lang w:val="id-ID"/>
          </w:rPr>
          <w:t>http://www.medscape.com/viewarticle/466843_3</w:t>
        </w:r>
      </w:hyperlink>
      <w:r>
        <w:rPr>
          <w:rFonts w:asciiTheme="minorHAnsi" w:hAnsiTheme="minorHAnsi" w:cstheme="minorHAnsi"/>
          <w:sz w:val="22"/>
          <w:szCs w:val="22"/>
          <w:lang w:val="id-ID"/>
        </w:rPr>
        <w:t>. 15 Maret 2015</w:t>
      </w:r>
    </w:p>
    <w:p w:rsidR="00253213" w:rsidRPr="00253213" w:rsidRDefault="00253213" w:rsidP="00253213">
      <w:pPr>
        <w:pStyle w:val="ListParagraph"/>
        <w:rPr>
          <w:rFonts w:cstheme="minorHAnsi"/>
        </w:rPr>
      </w:pPr>
    </w:p>
    <w:p w:rsidR="001158C6" w:rsidRPr="00366F3F" w:rsidRDefault="001158C6" w:rsidP="005455CC">
      <w:pPr>
        <w:spacing w:after="0" w:line="240" w:lineRule="auto"/>
        <w:jc w:val="both"/>
        <w:rPr>
          <w:rFonts w:cstheme="minorHAnsi"/>
        </w:rPr>
      </w:pPr>
    </w:p>
    <w:p w:rsidR="008E755C" w:rsidRPr="00792BE8" w:rsidRDefault="008E755C" w:rsidP="005455CC">
      <w:pPr>
        <w:pStyle w:val="ListParagraph"/>
        <w:autoSpaceDE w:val="0"/>
        <w:autoSpaceDN w:val="0"/>
        <w:adjustRightInd w:val="0"/>
        <w:ind w:left="426"/>
        <w:jc w:val="both"/>
        <w:rPr>
          <w:rFonts w:asciiTheme="minorHAnsi" w:hAnsiTheme="minorHAnsi" w:cstheme="minorHAnsi"/>
          <w:sz w:val="18"/>
          <w:szCs w:val="18"/>
        </w:rPr>
      </w:pPr>
    </w:p>
    <w:p w:rsidR="008E755C" w:rsidRPr="00792BE8" w:rsidRDefault="008E755C" w:rsidP="005455CC">
      <w:pPr>
        <w:autoSpaceDE w:val="0"/>
        <w:autoSpaceDN w:val="0"/>
        <w:adjustRightInd w:val="0"/>
        <w:spacing w:after="0" w:line="240" w:lineRule="auto"/>
        <w:jc w:val="both"/>
        <w:rPr>
          <w:rFonts w:cstheme="minorHAnsi"/>
          <w:sz w:val="18"/>
          <w:szCs w:val="18"/>
        </w:rPr>
      </w:pPr>
    </w:p>
    <w:p w:rsidR="00DD58F9" w:rsidRPr="00792BE8" w:rsidRDefault="00DD58F9" w:rsidP="005455CC">
      <w:pPr>
        <w:spacing w:after="0" w:line="240" w:lineRule="auto"/>
        <w:ind w:firstLine="709"/>
        <w:jc w:val="both"/>
        <w:rPr>
          <w:rFonts w:cstheme="minorHAnsi"/>
          <w:sz w:val="18"/>
          <w:szCs w:val="18"/>
        </w:rPr>
      </w:pPr>
    </w:p>
    <w:p w:rsidR="00DD58F9" w:rsidRPr="00792BE8" w:rsidRDefault="00DD58F9" w:rsidP="005455CC">
      <w:pPr>
        <w:spacing w:after="0" w:line="240" w:lineRule="auto"/>
        <w:jc w:val="both"/>
        <w:rPr>
          <w:rFonts w:cstheme="minorHAnsi"/>
          <w:sz w:val="18"/>
          <w:szCs w:val="18"/>
        </w:rPr>
      </w:pPr>
    </w:p>
    <w:p w:rsidR="00C7275C" w:rsidRPr="00792BE8" w:rsidRDefault="00C7275C" w:rsidP="005455CC">
      <w:pPr>
        <w:pStyle w:val="ListParagraph"/>
        <w:jc w:val="both"/>
        <w:rPr>
          <w:rFonts w:asciiTheme="minorHAnsi" w:hAnsiTheme="minorHAnsi" w:cstheme="minorHAnsi"/>
          <w:sz w:val="18"/>
          <w:szCs w:val="18"/>
        </w:rPr>
      </w:pPr>
    </w:p>
    <w:p w:rsidR="00DC2D5B" w:rsidRPr="00792BE8" w:rsidRDefault="00DC2D5B" w:rsidP="005455CC">
      <w:pPr>
        <w:spacing w:after="0" w:line="240" w:lineRule="auto"/>
        <w:jc w:val="both"/>
        <w:rPr>
          <w:rFonts w:eastAsia="Times New Roman" w:cstheme="minorHAnsi"/>
          <w:sz w:val="18"/>
          <w:szCs w:val="18"/>
        </w:rPr>
      </w:pPr>
    </w:p>
    <w:sectPr w:rsidR="00DC2D5B" w:rsidRPr="00792BE8" w:rsidSect="00366F3F">
      <w:type w:val="continuous"/>
      <w:pgSz w:w="11906" w:h="16838"/>
      <w:pgMar w:top="1440" w:right="1133" w:bottom="1440" w:left="1701" w:header="708" w:footer="708"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4-01T13:14:00Z" w:initials="U">
    <w:p w:rsidR="00FF77F7" w:rsidRPr="00FF77F7" w:rsidRDefault="00FF77F7">
      <w:pPr>
        <w:pStyle w:val="CommentText"/>
        <w:rPr>
          <w:lang w:val="en-US"/>
        </w:rPr>
      </w:pPr>
      <w:r>
        <w:rPr>
          <w:rStyle w:val="CommentReference"/>
        </w:rPr>
        <w:annotationRef/>
      </w:r>
      <w:r>
        <w:rPr>
          <w:lang w:val="en-US"/>
        </w:rPr>
        <w:t>Ini kalimat sendiri, atau nomor 3 lanjutan dari nomor sebelumnya?</w:t>
      </w:r>
    </w:p>
  </w:comment>
  <w:comment w:id="1" w:author="User" w:date="2015-04-06T20:18:00Z" w:initials="U">
    <w:p w:rsidR="00566618" w:rsidRPr="00366F3F" w:rsidRDefault="00566618" w:rsidP="00566618">
      <w:pPr>
        <w:pStyle w:val="CommentText"/>
        <w:rPr>
          <w:lang w:val="en-US"/>
        </w:rPr>
      </w:pPr>
      <w:r>
        <w:rPr>
          <w:rStyle w:val="CommentReference"/>
        </w:rPr>
        <w:annotationRef/>
      </w:r>
      <w:r>
        <w:rPr>
          <w:lang w:val="en-US"/>
        </w:rPr>
        <w:t>Sumber dimasukkan ke dalam daftar pustaka. Sitasi di artikel dengan menggunakan angka</w:t>
      </w:r>
    </w:p>
  </w:comment>
  <w:comment w:id="2" w:author="User" w:date="2015-04-06T20:21:00Z" w:initials="U">
    <w:p w:rsidR="00153ED3" w:rsidRDefault="00153ED3" w:rsidP="00153ED3">
      <w:pPr>
        <w:pStyle w:val="CommentText"/>
        <w:rPr>
          <w:lang w:val="en-US"/>
        </w:rPr>
      </w:pPr>
      <w:r>
        <w:rPr>
          <w:rStyle w:val="CommentReference"/>
        </w:rPr>
        <w:annotationRef/>
      </w:r>
      <w:r>
        <w:rPr>
          <w:lang w:val="en-US"/>
        </w:rPr>
        <w:t xml:space="preserve">Sumber dimasukkan ke dalam daftar pustaka. </w:t>
      </w:r>
    </w:p>
    <w:p w:rsidR="00153ED3" w:rsidRDefault="00153ED3" w:rsidP="00153ED3">
      <w:pPr>
        <w:pStyle w:val="CommentText"/>
        <w:rPr>
          <w:lang w:val="en-US"/>
        </w:rPr>
      </w:pPr>
    </w:p>
    <w:p w:rsidR="00153ED3" w:rsidRDefault="00153ED3" w:rsidP="00153ED3">
      <w:pPr>
        <w:pStyle w:val="CommentText"/>
        <w:rPr>
          <w:lang w:val="en-US"/>
        </w:rPr>
      </w:pPr>
      <w:r>
        <w:rPr>
          <w:lang w:val="en-US"/>
        </w:rPr>
        <w:t>Sitasi di artikel dengan menggunakan angka.</w:t>
      </w:r>
    </w:p>
    <w:p w:rsidR="00153ED3" w:rsidRDefault="00153ED3" w:rsidP="00153ED3">
      <w:pPr>
        <w:pStyle w:val="CommentText"/>
        <w:rPr>
          <w:lang w:val="en-US"/>
        </w:rPr>
      </w:pPr>
      <w:r>
        <w:rPr>
          <w:lang w:val="en-US"/>
        </w:rPr>
        <w:t>Contoh:</w:t>
      </w:r>
    </w:p>
    <w:p w:rsidR="00153ED3" w:rsidRPr="00FF77F7" w:rsidRDefault="00153ED3" w:rsidP="00153ED3">
      <w:pPr>
        <w:pStyle w:val="CommentText"/>
        <w:rPr>
          <w:vertAlign w:val="superscript"/>
          <w:lang w:val="en-US"/>
        </w:rPr>
      </w:pPr>
      <w:r>
        <w:rPr>
          <w:lang w:val="en-US"/>
        </w:rPr>
        <w:t>Gambar 2. Penentuan MIC</w:t>
      </w:r>
      <w:r>
        <w:rPr>
          <w:vertAlign w:val="superscript"/>
          <w:lang w:val="en-US"/>
        </w:rPr>
        <w:t>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33" w:rsidRDefault="00280633" w:rsidP="00A24F21">
      <w:pPr>
        <w:spacing w:after="0" w:line="240" w:lineRule="auto"/>
      </w:pPr>
      <w:r>
        <w:separator/>
      </w:r>
    </w:p>
  </w:endnote>
  <w:endnote w:type="continuationSeparator" w:id="1">
    <w:p w:rsidR="00280633" w:rsidRDefault="00280633" w:rsidP="00A2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33" w:rsidRDefault="00280633" w:rsidP="00A24F21">
      <w:pPr>
        <w:spacing w:after="0" w:line="240" w:lineRule="auto"/>
      </w:pPr>
      <w:r>
        <w:separator/>
      </w:r>
    </w:p>
  </w:footnote>
  <w:footnote w:type="continuationSeparator" w:id="1">
    <w:p w:rsidR="00280633" w:rsidRDefault="00280633" w:rsidP="00A2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2" w:rsidRPr="00643BD2" w:rsidRDefault="00643BD2">
    <w:pPr>
      <w:pStyle w:val="Header"/>
      <w:rPr>
        <w:sz w:val="18"/>
        <w:szCs w:val="18"/>
        <w:lang w:val="en-US"/>
      </w:rPr>
    </w:pPr>
    <w:r w:rsidRPr="00643BD2">
      <w:rPr>
        <w:sz w:val="18"/>
        <w:szCs w:val="18"/>
        <w:lang w:val="en-US"/>
      </w:rPr>
      <w:t xml:space="preserve">Tri Umiana Soleha </w:t>
    </w:r>
    <w:r w:rsidRPr="00643BD2">
      <w:rPr>
        <w:rFonts w:ascii="Calibri" w:hAnsi="Calibri"/>
        <w:sz w:val="18"/>
        <w:szCs w:val="18"/>
        <w:lang w:val="en-US"/>
      </w:rPr>
      <w:t xml:space="preserve">| </w:t>
    </w:r>
    <w:r w:rsidRPr="00643BD2">
      <w:rPr>
        <w:sz w:val="18"/>
        <w:szCs w:val="18"/>
        <w:lang w:val="en-US"/>
      </w:rPr>
      <w:t>Uji Kepekaan terhadap Antibiotik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C4B"/>
    <w:multiLevelType w:val="hybridMultilevel"/>
    <w:tmpl w:val="4BFA2BE8"/>
    <w:lvl w:ilvl="0" w:tplc="27D474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50398"/>
    <w:multiLevelType w:val="hybridMultilevel"/>
    <w:tmpl w:val="1BE0C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9F70F2"/>
    <w:multiLevelType w:val="hybridMultilevel"/>
    <w:tmpl w:val="CF78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623C"/>
    <w:multiLevelType w:val="hybridMultilevel"/>
    <w:tmpl w:val="CF602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B113D"/>
    <w:multiLevelType w:val="hybridMultilevel"/>
    <w:tmpl w:val="BF967062"/>
    <w:lvl w:ilvl="0" w:tplc="C4744BF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E7446"/>
    <w:multiLevelType w:val="hybridMultilevel"/>
    <w:tmpl w:val="AC42DE34"/>
    <w:lvl w:ilvl="0" w:tplc="89949734">
      <w:start w:val="1"/>
      <w:numFmt w:val="decimal"/>
      <w:lvlText w:val="%1."/>
      <w:lvlJc w:val="left"/>
      <w:pPr>
        <w:ind w:left="644" w:hanging="360"/>
      </w:pPr>
      <w:rPr>
        <w:rFonts w:hint="default"/>
      </w:rPr>
    </w:lvl>
    <w:lvl w:ilvl="1" w:tplc="D40EC11E">
      <w:start w:val="1"/>
      <w:numFmt w:val="lowerLetter"/>
      <w:lvlText w:val="%2."/>
      <w:lvlJc w:val="left"/>
      <w:pPr>
        <w:ind w:left="1364" w:hanging="360"/>
      </w:pPr>
      <w:rPr>
        <w:i w:val="0"/>
      </w:rPr>
    </w:lvl>
    <w:lvl w:ilvl="2" w:tplc="E64CB54C">
      <w:start w:val="1"/>
      <w:numFmt w:val="decimal"/>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4FE3A3E"/>
    <w:multiLevelType w:val="multilevel"/>
    <w:tmpl w:val="C0D65930"/>
    <w:lvl w:ilvl="0">
      <w:start w:val="1"/>
      <w:numFmt w:val="upperRoman"/>
      <w:pStyle w:val="Heading1"/>
      <w:lvlText w:val="%1."/>
      <w:lvlJc w:val="left"/>
      <w:pPr>
        <w:ind w:left="397" w:hanging="397"/>
      </w:pPr>
      <w:rPr>
        <w:rFonts w:hint="default"/>
      </w:rPr>
    </w:lvl>
    <w:lvl w:ilvl="1">
      <w:start w:val="1"/>
      <w:numFmt w:val="decimal"/>
      <w:pStyle w:val="Heading2"/>
      <w:lvlText w:val="1.%2."/>
      <w:lvlJc w:val="left"/>
      <w:pPr>
        <w:ind w:left="510" w:hanging="510"/>
      </w:pPr>
      <w:rPr>
        <w:rFonts w:hint="default"/>
      </w:rPr>
    </w:lvl>
    <w:lvl w:ilvl="2">
      <w:start w:val="1"/>
      <w:numFmt w:val="lowerLetter"/>
      <w:pStyle w:val="Heading3"/>
      <w:lvlText w:val="%3."/>
      <w:lvlJc w:val="left"/>
      <w:pPr>
        <w:ind w:left="284" w:hanging="284"/>
      </w:pPr>
      <w:rPr>
        <w:rFonts w:hint="default"/>
      </w:rPr>
    </w:lvl>
    <w:lvl w:ilvl="3">
      <w:start w:val="1"/>
      <w:numFmt w:val="decimal"/>
      <w:pStyle w:val="Heading4"/>
      <w:lvlText w:val="%4."/>
      <w:lvlJc w:val="left"/>
      <w:pPr>
        <w:ind w:left="284" w:hanging="284"/>
      </w:pPr>
      <w:rPr>
        <w:rFonts w:hint="default"/>
      </w:rPr>
    </w:lvl>
    <w:lvl w:ilvl="4">
      <w:start w:val="1"/>
      <w:numFmt w:val="lowerLetter"/>
      <w:pStyle w:val="Heading5"/>
      <w:lvlText w:val="%5."/>
      <w:lvlJc w:val="left"/>
      <w:pPr>
        <w:ind w:left="284" w:hanging="28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8154E36"/>
    <w:multiLevelType w:val="hybridMultilevel"/>
    <w:tmpl w:val="8A903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D60E2C"/>
    <w:multiLevelType w:val="hybridMultilevel"/>
    <w:tmpl w:val="5642AB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B1EAE"/>
    <w:multiLevelType w:val="hybridMultilevel"/>
    <w:tmpl w:val="E2BE2E32"/>
    <w:lvl w:ilvl="0" w:tplc="5EB6E94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502C"/>
    <w:multiLevelType w:val="hybridMultilevel"/>
    <w:tmpl w:val="D86412B0"/>
    <w:lvl w:ilvl="0" w:tplc="24CE3AB8">
      <w:start w:val="1"/>
      <w:numFmt w:val="decimal"/>
      <w:lvlText w:val="%1."/>
      <w:lvlJc w:val="center"/>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4A502DDE"/>
    <w:multiLevelType w:val="hybridMultilevel"/>
    <w:tmpl w:val="00E229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3826184"/>
    <w:multiLevelType w:val="hybridMultilevel"/>
    <w:tmpl w:val="EA541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7F3CD3"/>
    <w:multiLevelType w:val="hybridMultilevel"/>
    <w:tmpl w:val="0EB24410"/>
    <w:lvl w:ilvl="0" w:tplc="7AF8F5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95DF0"/>
    <w:multiLevelType w:val="hybridMultilevel"/>
    <w:tmpl w:val="52E4477A"/>
    <w:lvl w:ilvl="0" w:tplc="64441FF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13E96"/>
    <w:multiLevelType w:val="hybridMultilevel"/>
    <w:tmpl w:val="085CEDC8"/>
    <w:lvl w:ilvl="0" w:tplc="C7F6E0C8">
      <w:start w:val="1"/>
      <w:numFmt w:val="decimal"/>
      <w:lvlText w:val="%1."/>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EDC581A"/>
    <w:multiLevelType w:val="hybridMultilevel"/>
    <w:tmpl w:val="22F09B64"/>
    <w:lvl w:ilvl="0" w:tplc="288030C4">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56649B4"/>
    <w:multiLevelType w:val="hybridMultilevel"/>
    <w:tmpl w:val="F7701B4E"/>
    <w:lvl w:ilvl="0" w:tplc="EF983482">
      <w:start w:val="1"/>
      <w:numFmt w:val="lowerLetter"/>
      <w:lvlText w:val="%1."/>
      <w:lvlJc w:val="left"/>
      <w:pPr>
        <w:ind w:left="1735" w:hanging="360"/>
      </w:pPr>
      <w:rPr>
        <w:rFonts w:hint="default"/>
        <w:b w:val="0"/>
        <w:sz w:val="24"/>
        <w:szCs w:val="24"/>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8">
    <w:nsid w:val="67ED419E"/>
    <w:multiLevelType w:val="hybridMultilevel"/>
    <w:tmpl w:val="8E18C3B8"/>
    <w:lvl w:ilvl="0" w:tplc="42122CFE">
      <w:start w:val="1"/>
      <w:numFmt w:val="upperRoman"/>
      <w:lvlText w:val="%1."/>
      <w:lvlJc w:val="left"/>
      <w:pPr>
        <w:ind w:left="862"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D7E16"/>
    <w:multiLevelType w:val="hybridMultilevel"/>
    <w:tmpl w:val="C25CE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8D6F9E"/>
    <w:multiLevelType w:val="hybridMultilevel"/>
    <w:tmpl w:val="9D4C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C4D50"/>
    <w:multiLevelType w:val="hybridMultilevel"/>
    <w:tmpl w:val="6E08902C"/>
    <w:lvl w:ilvl="0" w:tplc="24CE3AB8">
      <w:start w:val="1"/>
      <w:numFmt w:val="decimal"/>
      <w:lvlText w:val="%1."/>
      <w:lvlJc w:val="center"/>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21"/>
  </w:num>
  <w:num w:numId="2">
    <w:abstractNumId w:val="14"/>
  </w:num>
  <w:num w:numId="3">
    <w:abstractNumId w:val="17"/>
  </w:num>
  <w:num w:numId="4">
    <w:abstractNumId w:val="7"/>
  </w:num>
  <w:num w:numId="5">
    <w:abstractNumId w:val="18"/>
  </w:num>
  <w:num w:numId="6">
    <w:abstractNumId w:val="6"/>
  </w:num>
  <w:num w:numId="7">
    <w:abstractNumId w:val="10"/>
  </w:num>
  <w:num w:numId="8">
    <w:abstractNumId w:val="8"/>
  </w:num>
  <w:num w:numId="9">
    <w:abstractNumId w:val="15"/>
  </w:num>
  <w:num w:numId="10">
    <w:abstractNumId w:val="0"/>
  </w:num>
  <w:num w:numId="11">
    <w:abstractNumId w:val="4"/>
  </w:num>
  <w:num w:numId="12">
    <w:abstractNumId w:val="5"/>
  </w:num>
  <w:num w:numId="13">
    <w:abstractNumId w:val="13"/>
  </w:num>
  <w:num w:numId="14">
    <w:abstractNumId w:val="1"/>
  </w:num>
  <w:num w:numId="15">
    <w:abstractNumId w:val="12"/>
  </w:num>
  <w:num w:numId="16">
    <w:abstractNumId w:val="3"/>
  </w:num>
  <w:num w:numId="17">
    <w:abstractNumId w:val="16"/>
  </w:num>
  <w:num w:numId="18">
    <w:abstractNumId w:val="19"/>
  </w:num>
  <w:num w:numId="19">
    <w:abstractNumId w:val="20"/>
  </w:num>
  <w:num w:numId="20">
    <w:abstractNumId w:val="2"/>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20"/>
  <w:characterSpacingControl w:val="doNotCompress"/>
  <w:footnotePr>
    <w:footnote w:id="0"/>
    <w:footnote w:id="1"/>
  </w:footnotePr>
  <w:endnotePr>
    <w:endnote w:id="0"/>
    <w:endnote w:id="1"/>
  </w:endnotePr>
  <w:compat/>
  <w:rsids>
    <w:rsidRoot w:val="001F0BD9"/>
    <w:rsid w:val="0001399F"/>
    <w:rsid w:val="000148CD"/>
    <w:rsid w:val="0005233E"/>
    <w:rsid w:val="00072EEE"/>
    <w:rsid w:val="000D028F"/>
    <w:rsid w:val="000D7F0F"/>
    <w:rsid w:val="001158C6"/>
    <w:rsid w:val="00153ED3"/>
    <w:rsid w:val="00191517"/>
    <w:rsid w:val="001A7261"/>
    <w:rsid w:val="001B6579"/>
    <w:rsid w:val="001F0BB0"/>
    <w:rsid w:val="001F0BD9"/>
    <w:rsid w:val="002304B5"/>
    <w:rsid w:val="00251BE4"/>
    <w:rsid w:val="00253213"/>
    <w:rsid w:val="00280633"/>
    <w:rsid w:val="00295DA3"/>
    <w:rsid w:val="00366F3F"/>
    <w:rsid w:val="00396493"/>
    <w:rsid w:val="00400256"/>
    <w:rsid w:val="00462242"/>
    <w:rsid w:val="004A10E9"/>
    <w:rsid w:val="004D3ECE"/>
    <w:rsid w:val="004E14F0"/>
    <w:rsid w:val="004F53D4"/>
    <w:rsid w:val="005455CC"/>
    <w:rsid w:val="00566618"/>
    <w:rsid w:val="005667F8"/>
    <w:rsid w:val="005D7417"/>
    <w:rsid w:val="0060682D"/>
    <w:rsid w:val="00607E86"/>
    <w:rsid w:val="00643BD2"/>
    <w:rsid w:val="006612AD"/>
    <w:rsid w:val="006842BE"/>
    <w:rsid w:val="006A295E"/>
    <w:rsid w:val="006B753C"/>
    <w:rsid w:val="00713F5E"/>
    <w:rsid w:val="00721C00"/>
    <w:rsid w:val="0072769C"/>
    <w:rsid w:val="007601D9"/>
    <w:rsid w:val="00792BE8"/>
    <w:rsid w:val="007A58B5"/>
    <w:rsid w:val="007B2E68"/>
    <w:rsid w:val="007C5BCA"/>
    <w:rsid w:val="007D13CF"/>
    <w:rsid w:val="007F3EFB"/>
    <w:rsid w:val="00810A39"/>
    <w:rsid w:val="008640E7"/>
    <w:rsid w:val="00864A6B"/>
    <w:rsid w:val="008940B1"/>
    <w:rsid w:val="008C534A"/>
    <w:rsid w:val="008E755C"/>
    <w:rsid w:val="008F4C98"/>
    <w:rsid w:val="009D7D0F"/>
    <w:rsid w:val="009E38E9"/>
    <w:rsid w:val="00A150D3"/>
    <w:rsid w:val="00A24F21"/>
    <w:rsid w:val="00A475C0"/>
    <w:rsid w:val="00AA7FB7"/>
    <w:rsid w:val="00B00612"/>
    <w:rsid w:val="00B05B86"/>
    <w:rsid w:val="00B43815"/>
    <w:rsid w:val="00B969E3"/>
    <w:rsid w:val="00BB6151"/>
    <w:rsid w:val="00C03409"/>
    <w:rsid w:val="00C42DEF"/>
    <w:rsid w:val="00C45F58"/>
    <w:rsid w:val="00C7275C"/>
    <w:rsid w:val="00CB37F1"/>
    <w:rsid w:val="00CC4890"/>
    <w:rsid w:val="00D01EDD"/>
    <w:rsid w:val="00D4370F"/>
    <w:rsid w:val="00DB6B91"/>
    <w:rsid w:val="00DB7FE5"/>
    <w:rsid w:val="00DC2D5B"/>
    <w:rsid w:val="00DD58F9"/>
    <w:rsid w:val="00DD717A"/>
    <w:rsid w:val="00DE45B6"/>
    <w:rsid w:val="00DE51D4"/>
    <w:rsid w:val="00E0140C"/>
    <w:rsid w:val="00E31B5E"/>
    <w:rsid w:val="00E32C04"/>
    <w:rsid w:val="00E8426C"/>
    <w:rsid w:val="00E93F16"/>
    <w:rsid w:val="00EB24EB"/>
    <w:rsid w:val="00EB5D83"/>
    <w:rsid w:val="00ED13F1"/>
    <w:rsid w:val="00ED32CD"/>
    <w:rsid w:val="00EF0E07"/>
    <w:rsid w:val="00F07327"/>
    <w:rsid w:val="00F932C4"/>
    <w:rsid w:val="00FF02AB"/>
    <w:rsid w:val="00FF77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F0"/>
  </w:style>
  <w:style w:type="paragraph" w:styleId="Heading1">
    <w:name w:val="heading 1"/>
    <w:basedOn w:val="Normal"/>
    <w:next w:val="Normal"/>
    <w:link w:val="Heading1Char"/>
    <w:uiPriority w:val="9"/>
    <w:qFormat/>
    <w:rsid w:val="00DD58F9"/>
    <w:pPr>
      <w:keepNext/>
      <w:keepLines/>
      <w:numPr>
        <w:numId w:val="6"/>
      </w:numPr>
      <w:spacing w:after="0" w:line="360" w:lineRule="auto"/>
      <w:jc w:val="both"/>
      <w:outlineLvl w:val="0"/>
    </w:pPr>
    <w:rPr>
      <w:rFonts w:ascii="Times New Roman" w:eastAsiaTheme="majorEastAsia" w:hAnsi="Times New Roman" w:cstheme="majorBidi"/>
      <w:b/>
      <w:bCs/>
      <w:caps/>
      <w:sz w:val="24"/>
      <w:szCs w:val="28"/>
      <w:lang w:val="en-US"/>
    </w:rPr>
  </w:style>
  <w:style w:type="paragraph" w:styleId="Heading2">
    <w:name w:val="heading 2"/>
    <w:basedOn w:val="Normal"/>
    <w:next w:val="Normal"/>
    <w:link w:val="Heading2Char"/>
    <w:uiPriority w:val="9"/>
    <w:unhideWhenUsed/>
    <w:qFormat/>
    <w:rsid w:val="00DD58F9"/>
    <w:pPr>
      <w:keepNext/>
      <w:keepLines/>
      <w:numPr>
        <w:ilvl w:val="1"/>
        <w:numId w:val="6"/>
      </w:numPr>
      <w:spacing w:after="0" w:line="360" w:lineRule="auto"/>
      <w:jc w:val="both"/>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DD58F9"/>
    <w:pPr>
      <w:keepNext/>
      <w:keepLines/>
      <w:numPr>
        <w:ilvl w:val="2"/>
        <w:numId w:val="6"/>
      </w:numPr>
      <w:spacing w:after="0" w:line="36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unhideWhenUsed/>
    <w:qFormat/>
    <w:rsid w:val="00DD58F9"/>
    <w:pPr>
      <w:keepNext/>
      <w:keepLines/>
      <w:numPr>
        <w:ilvl w:val="3"/>
        <w:numId w:val="6"/>
      </w:numPr>
      <w:spacing w:after="0" w:line="360" w:lineRule="auto"/>
      <w:jc w:val="both"/>
      <w:outlineLvl w:val="3"/>
    </w:pPr>
    <w:rPr>
      <w:rFonts w:ascii="Times New Roman" w:eastAsiaTheme="majorEastAsia" w:hAnsi="Times New Roman" w:cstheme="majorBidi"/>
      <w:b/>
      <w:bCs/>
      <w:iCs/>
      <w:sz w:val="24"/>
      <w:lang w:val="en-US"/>
    </w:rPr>
  </w:style>
  <w:style w:type="paragraph" w:styleId="Heading5">
    <w:name w:val="heading 5"/>
    <w:basedOn w:val="Normal"/>
    <w:next w:val="Normal"/>
    <w:link w:val="Heading5Char"/>
    <w:uiPriority w:val="9"/>
    <w:unhideWhenUsed/>
    <w:qFormat/>
    <w:rsid w:val="00DD58F9"/>
    <w:pPr>
      <w:keepNext/>
      <w:keepLines/>
      <w:numPr>
        <w:ilvl w:val="4"/>
        <w:numId w:val="6"/>
      </w:numPr>
      <w:spacing w:after="0" w:line="360" w:lineRule="auto"/>
      <w:jc w:val="both"/>
      <w:outlineLvl w:val="4"/>
    </w:pPr>
    <w:rPr>
      <w:rFonts w:ascii="Times New Roman" w:eastAsiaTheme="majorEastAsia" w:hAnsi="Times New Roman" w:cstheme="majorBidi"/>
      <w:b/>
      <w:sz w:val="24"/>
      <w:lang w:val="en-US"/>
    </w:rPr>
  </w:style>
  <w:style w:type="paragraph" w:styleId="Heading6">
    <w:name w:val="heading 6"/>
    <w:basedOn w:val="Normal"/>
    <w:next w:val="Normal"/>
    <w:link w:val="Heading6Char"/>
    <w:uiPriority w:val="9"/>
    <w:semiHidden/>
    <w:unhideWhenUsed/>
    <w:qFormat/>
    <w:rsid w:val="00DD58F9"/>
    <w:pPr>
      <w:keepNext/>
      <w:keepLines/>
      <w:numPr>
        <w:ilvl w:val="5"/>
        <w:numId w:val="6"/>
      </w:numPr>
      <w:spacing w:before="200" w:after="0" w:line="360" w:lineRule="auto"/>
      <w:jc w:val="both"/>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DD58F9"/>
    <w:pPr>
      <w:keepNext/>
      <w:keepLines/>
      <w:numPr>
        <w:ilvl w:val="6"/>
        <w:numId w:val="6"/>
      </w:numPr>
      <w:spacing w:before="200" w:after="0" w:line="360" w:lineRule="auto"/>
      <w:jc w:val="both"/>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DD58F9"/>
    <w:pPr>
      <w:keepNext/>
      <w:keepLines/>
      <w:numPr>
        <w:ilvl w:val="7"/>
        <w:numId w:val="6"/>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DD58F9"/>
    <w:pPr>
      <w:keepNext/>
      <w:keepLines/>
      <w:numPr>
        <w:ilvl w:val="8"/>
        <w:numId w:val="6"/>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5B"/>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DD58F9"/>
    <w:rPr>
      <w:rFonts w:ascii="Times New Roman" w:eastAsiaTheme="majorEastAsia" w:hAnsi="Times New Roman" w:cstheme="majorBidi"/>
      <w:b/>
      <w:bCs/>
      <w:caps/>
      <w:sz w:val="24"/>
      <w:szCs w:val="28"/>
      <w:lang w:val="en-US"/>
    </w:rPr>
  </w:style>
  <w:style w:type="character" w:customStyle="1" w:styleId="Heading2Char">
    <w:name w:val="Heading 2 Char"/>
    <w:basedOn w:val="DefaultParagraphFont"/>
    <w:link w:val="Heading2"/>
    <w:uiPriority w:val="9"/>
    <w:rsid w:val="00DD58F9"/>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DD58F9"/>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DD58F9"/>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rsid w:val="00DD58F9"/>
    <w:rPr>
      <w:rFonts w:ascii="Times New Roman" w:eastAsiaTheme="majorEastAsia" w:hAnsi="Times New Roman" w:cstheme="majorBidi"/>
      <w:b/>
      <w:sz w:val="24"/>
      <w:lang w:val="en-US"/>
    </w:rPr>
  </w:style>
  <w:style w:type="character" w:customStyle="1" w:styleId="Heading6Char">
    <w:name w:val="Heading 6 Char"/>
    <w:basedOn w:val="DefaultParagraphFont"/>
    <w:link w:val="Heading6"/>
    <w:uiPriority w:val="9"/>
    <w:semiHidden/>
    <w:rsid w:val="00DD58F9"/>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DD58F9"/>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DD58F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D58F9"/>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F932C4"/>
    <w:pPr>
      <w:spacing w:after="0" w:line="240" w:lineRule="auto"/>
      <w:jc w:val="center"/>
    </w:pPr>
    <w:rPr>
      <w:rFonts w:ascii="Times New Roman" w:eastAsiaTheme="minorEastAsia" w:hAnsi="Times New Roman" w:cs="Times New Roman"/>
      <w:szCs w:val="24"/>
      <w:lang w:val="en-US"/>
    </w:rPr>
  </w:style>
  <w:style w:type="paragraph" w:styleId="NormalWeb">
    <w:name w:val="Normal (Web)"/>
    <w:basedOn w:val="Normal"/>
    <w:uiPriority w:val="99"/>
    <w:unhideWhenUsed/>
    <w:rsid w:val="00F932C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932C4"/>
    <w:rPr>
      <w:color w:val="0000FF"/>
      <w:u w:val="single"/>
    </w:rPr>
  </w:style>
  <w:style w:type="table" w:customStyle="1" w:styleId="LightGrid-Accent11">
    <w:name w:val="Light Grid - Accent 11"/>
    <w:basedOn w:val="TableNormal"/>
    <w:uiPriority w:val="62"/>
    <w:rsid w:val="00F932C4"/>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F9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C4"/>
    <w:rPr>
      <w:rFonts w:ascii="Tahoma" w:hAnsi="Tahoma" w:cs="Tahoma"/>
      <w:sz w:val="16"/>
      <w:szCs w:val="16"/>
    </w:rPr>
  </w:style>
  <w:style w:type="character" w:customStyle="1" w:styleId="apple-converted-space">
    <w:name w:val="apple-converted-space"/>
    <w:basedOn w:val="DefaultParagraphFont"/>
    <w:rsid w:val="00B43815"/>
  </w:style>
  <w:style w:type="character" w:customStyle="1" w:styleId="jrnl">
    <w:name w:val="jrnl"/>
    <w:basedOn w:val="DefaultParagraphFont"/>
    <w:rsid w:val="00B43815"/>
  </w:style>
  <w:style w:type="paragraph" w:styleId="Header">
    <w:name w:val="header"/>
    <w:basedOn w:val="Normal"/>
    <w:link w:val="HeaderChar"/>
    <w:uiPriority w:val="99"/>
    <w:unhideWhenUsed/>
    <w:rsid w:val="00A2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F21"/>
  </w:style>
  <w:style w:type="paragraph" w:styleId="Footer">
    <w:name w:val="footer"/>
    <w:basedOn w:val="Normal"/>
    <w:link w:val="FooterChar"/>
    <w:uiPriority w:val="99"/>
    <w:semiHidden/>
    <w:unhideWhenUsed/>
    <w:rsid w:val="00A24F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4F21"/>
  </w:style>
  <w:style w:type="paragraph" w:styleId="HTMLPreformatted">
    <w:name w:val="HTML Preformatted"/>
    <w:basedOn w:val="Normal"/>
    <w:link w:val="HTMLPreformattedChar"/>
    <w:uiPriority w:val="99"/>
    <w:semiHidden/>
    <w:unhideWhenUsed/>
    <w:rsid w:val="001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B657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7B2E68"/>
    <w:rPr>
      <w:sz w:val="16"/>
      <w:szCs w:val="16"/>
    </w:rPr>
  </w:style>
  <w:style w:type="paragraph" w:styleId="CommentText">
    <w:name w:val="annotation text"/>
    <w:basedOn w:val="Normal"/>
    <w:link w:val="CommentTextChar"/>
    <w:uiPriority w:val="99"/>
    <w:semiHidden/>
    <w:unhideWhenUsed/>
    <w:rsid w:val="007B2E68"/>
    <w:pPr>
      <w:spacing w:line="240" w:lineRule="auto"/>
    </w:pPr>
    <w:rPr>
      <w:sz w:val="20"/>
      <w:szCs w:val="20"/>
    </w:rPr>
  </w:style>
  <w:style w:type="character" w:customStyle="1" w:styleId="CommentTextChar">
    <w:name w:val="Comment Text Char"/>
    <w:basedOn w:val="DefaultParagraphFont"/>
    <w:link w:val="CommentText"/>
    <w:uiPriority w:val="99"/>
    <w:semiHidden/>
    <w:rsid w:val="007B2E68"/>
    <w:rPr>
      <w:sz w:val="20"/>
      <w:szCs w:val="20"/>
    </w:rPr>
  </w:style>
  <w:style w:type="paragraph" w:styleId="CommentSubject">
    <w:name w:val="annotation subject"/>
    <w:basedOn w:val="CommentText"/>
    <w:next w:val="CommentText"/>
    <w:link w:val="CommentSubjectChar"/>
    <w:uiPriority w:val="99"/>
    <w:semiHidden/>
    <w:unhideWhenUsed/>
    <w:rsid w:val="007B2E68"/>
    <w:rPr>
      <w:b/>
      <w:bCs/>
    </w:rPr>
  </w:style>
  <w:style w:type="character" w:customStyle="1" w:styleId="CommentSubjectChar">
    <w:name w:val="Comment Subject Char"/>
    <w:basedOn w:val="CommentTextChar"/>
    <w:link w:val="CommentSubject"/>
    <w:uiPriority w:val="99"/>
    <w:semiHidden/>
    <w:rsid w:val="007B2E68"/>
    <w:rPr>
      <w:b/>
      <w:bCs/>
    </w:rPr>
  </w:style>
</w:styles>
</file>

<file path=word/webSettings.xml><?xml version="1.0" encoding="utf-8"?>
<w:webSettings xmlns:r="http://schemas.openxmlformats.org/officeDocument/2006/relationships" xmlns:w="http://schemas.openxmlformats.org/wordprocessingml/2006/main">
  <w:divs>
    <w:div w:id="286545101">
      <w:bodyDiv w:val="1"/>
      <w:marLeft w:val="0"/>
      <w:marRight w:val="0"/>
      <w:marTop w:val="0"/>
      <w:marBottom w:val="0"/>
      <w:divBdr>
        <w:top w:val="none" w:sz="0" w:space="0" w:color="auto"/>
        <w:left w:val="none" w:sz="0" w:space="0" w:color="auto"/>
        <w:bottom w:val="none" w:sz="0" w:space="0" w:color="auto"/>
        <w:right w:val="none" w:sz="0" w:space="0" w:color="auto"/>
      </w:divBdr>
    </w:div>
    <w:div w:id="508060283">
      <w:bodyDiv w:val="1"/>
      <w:marLeft w:val="0"/>
      <w:marRight w:val="0"/>
      <w:marTop w:val="0"/>
      <w:marBottom w:val="0"/>
      <w:divBdr>
        <w:top w:val="none" w:sz="0" w:space="0" w:color="auto"/>
        <w:left w:val="none" w:sz="0" w:space="0" w:color="auto"/>
        <w:bottom w:val="none" w:sz="0" w:space="0" w:color="auto"/>
        <w:right w:val="none" w:sz="0" w:space="0" w:color="auto"/>
      </w:divBdr>
    </w:div>
    <w:div w:id="1106274610">
      <w:bodyDiv w:val="1"/>
      <w:marLeft w:val="0"/>
      <w:marRight w:val="0"/>
      <w:marTop w:val="0"/>
      <w:marBottom w:val="0"/>
      <w:divBdr>
        <w:top w:val="none" w:sz="0" w:space="0" w:color="auto"/>
        <w:left w:val="none" w:sz="0" w:space="0" w:color="auto"/>
        <w:bottom w:val="none" w:sz="0" w:space="0" w:color="auto"/>
        <w:right w:val="none" w:sz="0" w:space="0" w:color="auto"/>
      </w:divBdr>
    </w:div>
    <w:div w:id="11913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hyperlink" Target="https://scholar.google.com/citations?user=Q6lMTSMAAAAJ&amp;hl=id&amp;oi=sr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s://scholar.google.com/citations?user=DGKF348AAAAJ&amp;hl=id&amp;oi=sra" TargetMode="External"/><Relationship Id="rId2" Type="http://schemas.openxmlformats.org/officeDocument/2006/relationships/styles" Target="styles.xml"/><Relationship Id="rId16" Type="http://schemas.openxmlformats.org/officeDocument/2006/relationships/hyperlink" Target="https://scholar.google.com/citations?user=fbPKk0UAAAAJ&amp;hl=id&amp;oi=s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muhammadcank.wordpress.com/2010/03/19/uji-micminimum-inhibitory-concentration" TargetMode="External"/><Relationship Id="rId10" Type="http://schemas.openxmlformats.org/officeDocument/2006/relationships/image" Target="media/image2.png"/><Relationship Id="rId19" Type="http://schemas.openxmlformats.org/officeDocument/2006/relationships/hyperlink" Target="http://www.medscape.com/viewarticle/466843_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2015-04-06T13:57:00Z</dcterms:created>
  <dcterms:modified xsi:type="dcterms:W3CDTF">2015-04-07T13:53:00Z</dcterms:modified>
</cp:coreProperties>
</file>