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31F20"/>
          <w:sz w:val="32"/>
          <w:szCs w:val="32"/>
        </w:rPr>
      </w:pPr>
      <w:r>
        <w:rPr>
          <w:rFonts w:ascii="Cambria" w:hAnsi="Cambria" w:cs="Cambria"/>
          <w:b/>
          <w:bCs/>
          <w:color w:val="231F20"/>
          <w:sz w:val="32"/>
          <w:szCs w:val="32"/>
        </w:rPr>
        <w:t>Triggering Conservation Through Multi-Series Wildlife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31F20"/>
          <w:sz w:val="32"/>
          <w:szCs w:val="32"/>
        </w:rPr>
      </w:pPr>
      <w:r>
        <w:rPr>
          <w:rFonts w:ascii="Cambria" w:hAnsi="Cambria" w:cs="Cambria"/>
          <w:b/>
          <w:bCs/>
          <w:color w:val="231F20"/>
          <w:sz w:val="32"/>
          <w:szCs w:val="32"/>
        </w:rPr>
        <w:t>Symposium: Success Story of  International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31F20"/>
          <w:sz w:val="32"/>
          <w:szCs w:val="32"/>
        </w:rPr>
        <w:t>Wildlife Symposium in Sumatra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231F20"/>
          <w:sz w:val="20"/>
          <w:szCs w:val="20"/>
        </w:rPr>
        <w:t>Febri Anggriawan Widodo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1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Ahmad Muhammad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2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Sunarto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1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Wilson Novarino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3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Muhammad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Nazri Janra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3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Wishnu Sukmantoro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2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Ely Lestari Rustiati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4</w:t>
      </w:r>
      <w:r>
        <w:rPr>
          <w:rFonts w:ascii="Cambria" w:hAnsi="Cambria" w:cs="Cambria"/>
          <w:b/>
          <w:bCs/>
          <w:color w:val="231F20"/>
          <w:sz w:val="20"/>
          <w:szCs w:val="20"/>
        </w:rPr>
        <w:t>, Yob Charles</w:t>
      </w:r>
      <w:r>
        <w:rPr>
          <w:rFonts w:ascii="Cambria" w:hAnsi="Cambria" w:cs="Cambria"/>
          <w:b/>
          <w:bCs/>
          <w:color w:val="231F20"/>
          <w:sz w:val="12"/>
          <w:szCs w:val="12"/>
        </w:rPr>
        <w:t>5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  <w:sz w:val="12"/>
          <w:szCs w:val="12"/>
        </w:rPr>
      </w:pPr>
    </w:p>
    <w:p w:rsidR="00F47E68" w:rsidRP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 w:cs="Baskerville Old Face"/>
          <w:color w:val="231F20"/>
          <w:sz w:val="12"/>
          <w:szCs w:val="12"/>
        </w:rPr>
        <w:t>1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WWF Indonesia Central Sumatra Program, Perum Pemda Arengka Jalan Cemara Kipas No. 33, Pekanbaru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Baskerville Old Face" w:hAnsi="Baskerville Old Face" w:cs="Baskerville Old Face"/>
          <w:color w:val="231F20"/>
          <w:sz w:val="12"/>
          <w:szCs w:val="12"/>
        </w:rPr>
        <w:t>2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Department of  Biology, Faculty of  Mathematics and Natural Sciences, University of  Riau, Kampus Binawidya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 w:cs="Baskerville Old Face"/>
          <w:color w:val="231F20"/>
          <w:sz w:val="20"/>
          <w:szCs w:val="20"/>
        </w:rPr>
        <w:t>Pekanbaru, 28293,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Baskerville Old Face" w:hAnsi="Baskerville Old Face" w:cs="Baskerville Old Face"/>
          <w:color w:val="231F20"/>
          <w:sz w:val="12"/>
          <w:szCs w:val="12"/>
        </w:rPr>
        <w:t>3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Department of  Biology, Andalas University, Kampus UNAND Limau Manis, Padang, Sumatera Barat, 25163</w:t>
      </w:r>
      <w:r>
        <w:rPr>
          <w:rFonts w:ascii="Baskerville Old Face" w:hAnsi="Baskerville Old Face" w:cs="Baskerville Old Face"/>
          <w:color w:val="231F20"/>
          <w:sz w:val="12"/>
          <w:szCs w:val="12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Department of  Biology, Faculty of  Ma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 xml:space="preserve">thematics and Natural Sciences, 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University of  Lampung, Indonesia</w:t>
      </w:r>
      <w:r>
        <w:rPr>
          <w:rFonts w:ascii="Baskerville Old Face" w:hAnsi="Baskerville Old Face" w:cs="Baskerville Old Face"/>
          <w:color w:val="231F20"/>
          <w:sz w:val="12"/>
          <w:szCs w:val="1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WWF Indonesia Southern Sumatra Pr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 xml:space="preserve">ogram, Gang Ismail No 165B, Jl. 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Urip Sumoharjo, Way Halim Permai,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askerville Old Face" w:hAnsi="Baskerville Old Face" w:cs="Baskerville Old Face"/>
          <w:color w:val="231F20"/>
          <w:sz w:val="20"/>
          <w:szCs w:val="20"/>
        </w:rPr>
        <w:t>Sukarame, Bandar Lampung City, Lampung, Indonesia 35133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</w:rPr>
      </w:pPr>
      <w:r>
        <w:rPr>
          <w:rFonts w:ascii="Baskerville Old Face" w:hAnsi="Baskerville Old Face" w:cs="Baskerville Old Face"/>
          <w:color w:val="231F20"/>
        </w:rPr>
        <w:t>Author for correspondence: fawidodo@wwf.id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31F20"/>
        </w:rPr>
      </w:pP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31F20"/>
        </w:rPr>
      </w:pPr>
      <w:r>
        <w:rPr>
          <w:rFonts w:ascii="Cambria" w:hAnsi="Cambria" w:cs="Cambria"/>
          <w:b/>
          <w:bCs/>
          <w:color w:val="231F20"/>
        </w:rPr>
        <w:t>Abstract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 w:cs="Baskerville Old Face"/>
          <w:color w:val="231F20"/>
        </w:rPr>
        <w:t xml:space="preserve">Conserving wildlife needs engagement and contribution of  many people and stakeholders. Sumatra, 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</w:rPr>
      </w:pPr>
      <w:r>
        <w:rPr>
          <w:rFonts w:ascii="Baskerville Old Face" w:hAnsi="Baskerville Old Face" w:cs="Baskerville Old Face"/>
          <w:color w:val="231F20"/>
        </w:rPr>
        <w:t>as a mega-diverse island, is facing many conservation problems such as deforestation, habitat loss and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</w:rPr>
      </w:pPr>
      <w:r>
        <w:rPr>
          <w:rFonts w:ascii="Baskerville Old Face" w:hAnsi="Baskerville Old Face" w:cs="Baskerville Old Face"/>
          <w:color w:val="231F20"/>
        </w:rPr>
        <w:t>fragmentation, human-wildlife conflict, poaching and else, hence some collaborative works should be</w:t>
      </w:r>
    </w:p>
    <w:p w:rsid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</w:rPr>
      </w:pPr>
      <w:r>
        <w:rPr>
          <w:rFonts w:ascii="Baskerville Old Face" w:hAnsi="Baskerville Old Face" w:cs="Baskerville Old Face"/>
          <w:color w:val="231F20"/>
        </w:rPr>
        <w:t xml:space="preserve">conducted. An idea regarding these efforts is through the International </w:t>
      </w:r>
      <w:r>
        <w:rPr>
          <w:rFonts w:ascii="Baskerville Old Face" w:hAnsi="Baskerville Old Face" w:cs="Baskerville Old Face"/>
          <w:color w:val="231F20"/>
        </w:rPr>
        <w:t xml:space="preserve">Wildlife Symposium (IWS) series </w:t>
      </w:r>
      <w:r>
        <w:rPr>
          <w:rFonts w:ascii="Baskerville Old Face" w:hAnsi="Baskerville Old Face" w:cs="Baskerville Old Face"/>
          <w:color w:val="231F20"/>
        </w:rPr>
        <w:t>which involve stakeholders from academicians, decision makers and c</w:t>
      </w:r>
      <w:r>
        <w:rPr>
          <w:rFonts w:ascii="Baskerville Old Face" w:hAnsi="Baskerville Old Face" w:cs="Baskerville Old Face"/>
          <w:color w:val="231F20"/>
        </w:rPr>
        <w:t xml:space="preserve">onservation practitioners; even </w:t>
      </w:r>
      <w:r>
        <w:rPr>
          <w:rFonts w:ascii="Baskerville Old Face" w:hAnsi="Baskerville Old Face" w:cs="Baskerville Old Face"/>
          <w:color w:val="231F20"/>
        </w:rPr>
        <w:t>engaging those ground living people like local community. Initiated i</w:t>
      </w:r>
      <w:r>
        <w:rPr>
          <w:rFonts w:ascii="Baskerville Old Face" w:hAnsi="Baskerville Old Face" w:cs="Baskerville Old Face"/>
          <w:color w:val="231F20"/>
        </w:rPr>
        <w:t xml:space="preserve">n Riau in 2014, Riau University </w:t>
      </w:r>
      <w:r>
        <w:rPr>
          <w:rFonts w:ascii="Baskerville Old Face" w:hAnsi="Baskerville Old Face" w:cs="Baskerville Old Face"/>
          <w:color w:val="231F20"/>
        </w:rPr>
        <w:t>and WWF Indonesia together with a handful partners successfully pre</w:t>
      </w:r>
      <w:r>
        <w:rPr>
          <w:rFonts w:ascii="Baskerville Old Face" w:hAnsi="Baskerville Old Face" w:cs="Baskerville Old Face"/>
          <w:color w:val="231F20"/>
        </w:rPr>
        <w:t xml:space="preserve">sented the first IWS located in </w:t>
      </w:r>
      <w:r>
        <w:rPr>
          <w:rFonts w:ascii="Baskerville Old Face" w:hAnsi="Baskerville Old Face" w:cs="Baskerville Old Face"/>
          <w:color w:val="231F20"/>
        </w:rPr>
        <w:t xml:space="preserve">Riau University. The first symposium was attended by participants from </w:t>
      </w:r>
      <w:r>
        <w:rPr>
          <w:rFonts w:ascii="Baskerville Old Face" w:hAnsi="Baskerville Old Face" w:cs="Baskerville Old Face"/>
          <w:color w:val="231F20"/>
        </w:rPr>
        <w:t xml:space="preserve">three countries. Continuing the </w:t>
      </w:r>
      <w:r>
        <w:rPr>
          <w:rFonts w:ascii="Baskerville Old Face" w:hAnsi="Baskerville Old Face" w:cs="Baskerville Old Face"/>
          <w:color w:val="231F20"/>
        </w:rPr>
        <w:t xml:space="preserve">success story, the second IWS was also successfully held in Andalas University, organized by consortium </w:t>
      </w:r>
      <w:r>
        <w:rPr>
          <w:rFonts w:ascii="Baskerville Old Face" w:hAnsi="Baskerville Old Face" w:cs="Baskerville Old Face"/>
          <w:color w:val="231F20"/>
        </w:rPr>
        <w:t xml:space="preserve"> </w:t>
      </w:r>
      <w:r>
        <w:rPr>
          <w:rFonts w:ascii="Baskerville Old Face" w:hAnsi="Baskerville Old Face" w:cs="Baskerville Old Face"/>
          <w:color w:val="231F20"/>
        </w:rPr>
        <w:t>of  Andalas University, WWF Indonesia, Riau University and partners. It was attended by participants from five countries. The third IWS, which was organized</w:t>
      </w:r>
      <w:r>
        <w:rPr>
          <w:rFonts w:ascii="Baskerville Old Face" w:hAnsi="Baskerville Old Face" w:cs="Baskerville Old Face"/>
          <w:color w:val="231F20"/>
        </w:rPr>
        <w:t xml:space="preserve"> in Lampung </w:t>
      </w:r>
      <w:r>
        <w:rPr>
          <w:rFonts w:ascii="Baskerville Old Face" w:hAnsi="Baskerville Old Face" w:cs="Baskerville Old Face"/>
          <w:color w:val="231F20"/>
        </w:rPr>
        <w:t>Uni</w:t>
      </w:r>
      <w:r>
        <w:rPr>
          <w:rFonts w:ascii="Baskerville Old Face" w:hAnsi="Baskerville Old Face" w:cs="Baskerville Old Face"/>
          <w:color w:val="231F20"/>
        </w:rPr>
        <w:t xml:space="preserve">versity by a larger consortium, </w:t>
      </w:r>
      <w:r>
        <w:rPr>
          <w:rFonts w:ascii="Baskerville Old Face" w:hAnsi="Baskerville Old Face" w:cs="Baskerville Old Face"/>
          <w:color w:val="231F20"/>
        </w:rPr>
        <w:t>was attended by the participants from five countries. In general, the pr</w:t>
      </w:r>
      <w:r>
        <w:rPr>
          <w:rFonts w:ascii="Baskerville Old Face" w:hAnsi="Baskerville Old Face" w:cs="Baskerville Old Face"/>
          <w:color w:val="231F20"/>
        </w:rPr>
        <w:t xml:space="preserve">evious symposium series covered </w:t>
      </w:r>
      <w:r>
        <w:rPr>
          <w:rFonts w:ascii="Baskerville Old Face" w:hAnsi="Baskerville Old Face" w:cs="Baskerville Old Face"/>
          <w:color w:val="231F20"/>
        </w:rPr>
        <w:t>lectures from keynote speakers from across the globe, followed by pre</w:t>
      </w:r>
      <w:r>
        <w:rPr>
          <w:rFonts w:ascii="Baskerville Old Face" w:hAnsi="Baskerville Old Face" w:cs="Baskerville Old Face"/>
          <w:color w:val="231F20"/>
        </w:rPr>
        <w:t xml:space="preserve">sentations, workshops and field </w:t>
      </w:r>
      <w:r>
        <w:rPr>
          <w:rFonts w:ascii="Baskerville Old Face" w:hAnsi="Baskerville Old Face" w:cs="Baskerville Old Face"/>
          <w:color w:val="231F20"/>
        </w:rPr>
        <w:t>trip. Deploying conservation issues throughout the symposium series is pow</w:t>
      </w:r>
      <w:r>
        <w:rPr>
          <w:rFonts w:ascii="Baskerville Old Face" w:hAnsi="Baskerville Old Face" w:cs="Baskerville Old Face"/>
          <w:color w:val="231F20"/>
        </w:rPr>
        <w:t>erfully beneficial for wildlife</w:t>
      </w:r>
      <w:r>
        <w:rPr>
          <w:rFonts w:ascii="Baskerville Old Face" w:hAnsi="Baskerville Old Face" w:cs="Baskerville Old Face"/>
          <w:color w:val="231F20"/>
        </w:rPr>
        <w:t xml:space="preserve">conservation. It is expected that this symposium will be continuously presented in the future. </w:t>
      </w:r>
    </w:p>
    <w:p w:rsidR="00F47E68" w:rsidRPr="00F47E68" w:rsidRDefault="00F47E68" w:rsidP="00F47E6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231F20"/>
        </w:rPr>
      </w:pPr>
      <w:bookmarkStart w:id="0" w:name="_GoBack"/>
      <w:bookmarkEnd w:id="0"/>
    </w:p>
    <w:p w:rsidR="00493FA0" w:rsidRDefault="00F47E68" w:rsidP="00F47E68">
      <w:r>
        <w:rPr>
          <w:rFonts w:ascii="Cambria" w:hAnsi="Cambria" w:cs="Cambria"/>
          <w:b/>
          <w:bCs/>
          <w:color w:val="231F20"/>
        </w:rPr>
        <w:t>Keyword</w:t>
      </w:r>
      <w:r>
        <w:rPr>
          <w:rFonts w:ascii="Baskerville Old Face" w:hAnsi="Baskerville Old Face" w:cs="Baskerville Old Face"/>
          <w:color w:val="231F20"/>
        </w:rPr>
        <w:t>: career, collaboration, Funding, Networking, Scientific Research</w:t>
      </w:r>
    </w:p>
    <w:sectPr w:rsidR="00493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68"/>
    <w:rsid w:val="00493FA0"/>
    <w:rsid w:val="00CA7F72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2017-11-03T06:32:00Z</dcterms:created>
  <dcterms:modified xsi:type="dcterms:W3CDTF">2017-11-03T06:35:00Z</dcterms:modified>
</cp:coreProperties>
</file>