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119" w:rsidRPr="005E6119" w:rsidRDefault="00C8556E" w:rsidP="00E57E6A">
      <w:pPr>
        <w:tabs>
          <w:tab w:val="left" w:pos="284"/>
        </w:tabs>
        <w:spacing w:after="460"/>
        <w:jc w:val="center"/>
        <w:rPr>
          <w:rFonts w:eastAsia="Times"/>
          <w:b/>
          <w:bCs/>
          <w:i/>
          <w:iCs/>
          <w:sz w:val="32"/>
          <w:szCs w:val="32"/>
          <w:lang w:val="en-US"/>
        </w:rPr>
      </w:pPr>
      <w:r w:rsidRPr="00C8556E">
        <w:rPr>
          <w:rFonts w:eastAsia="Times"/>
          <w:b/>
          <w:bCs/>
          <w:i/>
          <w:iCs/>
          <w:sz w:val="32"/>
          <w:szCs w:val="32"/>
          <w:lang w:val="en-US"/>
        </w:rPr>
        <w:t xml:space="preserve">Analysis Impact </w:t>
      </w:r>
      <w:r w:rsidR="00633236">
        <w:rPr>
          <w:rFonts w:eastAsia="Times"/>
          <w:b/>
          <w:bCs/>
          <w:i/>
          <w:iCs/>
          <w:sz w:val="32"/>
          <w:szCs w:val="32"/>
          <w:lang w:val="en-US"/>
        </w:rPr>
        <w:t>o</w:t>
      </w:r>
      <w:r w:rsidRPr="00C8556E">
        <w:rPr>
          <w:rFonts w:eastAsia="Times"/>
          <w:b/>
          <w:bCs/>
          <w:i/>
          <w:iCs/>
          <w:sz w:val="32"/>
          <w:szCs w:val="32"/>
          <w:lang w:val="en-US"/>
        </w:rPr>
        <w:t>f Coronavirus Disease (Covid-19) Pandemic On Income, Working Hours And Customers Of Merchants In Pahawang Island Tour</w:t>
      </w:r>
    </w:p>
    <w:p w:rsidR="005E6119" w:rsidRPr="00944ABC" w:rsidRDefault="008A595E" w:rsidP="00E57E6A">
      <w:pPr>
        <w:jc w:val="center"/>
        <w:rPr>
          <w:rFonts w:eastAsia="Times"/>
          <w:bCs/>
          <w:vertAlign w:val="superscript"/>
          <w:lang w:val="en-US"/>
        </w:rPr>
      </w:pPr>
      <w:r w:rsidRPr="008A595E">
        <w:rPr>
          <w:rFonts w:eastAsia="Times"/>
          <w:bCs/>
          <w:lang w:val="en-US"/>
        </w:rPr>
        <w:t>Heru Wahyudi</w:t>
      </w:r>
      <w:r>
        <w:rPr>
          <w:rFonts w:eastAsia="Times"/>
          <w:bCs/>
          <w:vertAlign w:val="superscript"/>
          <w:lang w:val="en-US"/>
        </w:rPr>
        <w:t>1</w:t>
      </w:r>
      <w:r w:rsidR="005E6119" w:rsidRPr="005E6119">
        <w:rPr>
          <w:rFonts w:eastAsia="Times"/>
          <w:bCs/>
          <w:lang w:val="en-US"/>
        </w:rPr>
        <w:t xml:space="preserve">, </w:t>
      </w:r>
      <w:r w:rsidRPr="008A595E">
        <w:rPr>
          <w:rFonts w:eastAsia="Times"/>
          <w:bCs/>
          <w:lang w:val="en-US"/>
        </w:rPr>
        <w:t>Neli Aida</w:t>
      </w:r>
      <w:r w:rsidR="00944ABC">
        <w:rPr>
          <w:rFonts w:eastAsia="Times"/>
          <w:bCs/>
          <w:vertAlign w:val="superscript"/>
          <w:lang w:val="en-US"/>
        </w:rPr>
        <w:t>2</w:t>
      </w:r>
      <w:r w:rsidR="00944ABC" w:rsidRPr="00944ABC">
        <w:rPr>
          <w:rFonts w:eastAsia="Times"/>
          <w:bCs/>
          <w:lang w:val="en-US"/>
        </w:rPr>
        <w:t>, Eka Aplilia Saraswati</w:t>
      </w:r>
      <w:r w:rsidR="00944ABC">
        <w:rPr>
          <w:rFonts w:eastAsia="Times"/>
          <w:bCs/>
          <w:vertAlign w:val="superscript"/>
          <w:lang w:val="en-US"/>
        </w:rPr>
        <w:t>3</w:t>
      </w:r>
    </w:p>
    <w:p w:rsidR="00274BE6" w:rsidRPr="00E57E6A" w:rsidRDefault="00E57E6A" w:rsidP="00E57E6A">
      <w:pPr>
        <w:jc w:val="center"/>
        <w:rPr>
          <w:vertAlign w:val="superscript"/>
          <w:lang w:val="en-US"/>
        </w:rPr>
      </w:pPr>
      <w:r>
        <w:rPr>
          <w:rFonts w:eastAsia="Times"/>
          <w:sz w:val="18"/>
          <w:szCs w:val="18"/>
        </w:rPr>
        <w:t>heru.abiyahya</w:t>
      </w:r>
      <w:r w:rsidR="00633236">
        <w:rPr>
          <w:rFonts w:eastAsia="Times"/>
          <w:sz w:val="18"/>
          <w:szCs w:val="18"/>
        </w:rPr>
        <w:t>@gmail.com</w:t>
      </w:r>
      <w:r>
        <w:rPr>
          <w:rFonts w:eastAsia="Times"/>
          <w:sz w:val="18"/>
          <w:szCs w:val="18"/>
          <w:vertAlign w:val="superscript"/>
        </w:rPr>
        <w:t>1</w:t>
      </w:r>
      <w:r>
        <w:rPr>
          <w:rFonts w:eastAsia="Times"/>
          <w:sz w:val="18"/>
          <w:szCs w:val="18"/>
        </w:rPr>
        <w:t xml:space="preserve">, </w:t>
      </w:r>
      <w:r w:rsidR="00FD0352">
        <w:rPr>
          <w:rFonts w:eastAsia="Times"/>
          <w:sz w:val="18"/>
          <w:szCs w:val="18"/>
        </w:rPr>
        <w:t>neliaida442@gmail.com</w:t>
      </w:r>
      <w:r>
        <w:rPr>
          <w:rFonts w:eastAsia="Times"/>
          <w:sz w:val="18"/>
          <w:szCs w:val="18"/>
          <w:vertAlign w:val="superscript"/>
        </w:rPr>
        <w:t>2</w:t>
      </w:r>
      <w:r w:rsidR="009809A4">
        <w:rPr>
          <w:rFonts w:eastAsia="Times"/>
          <w:sz w:val="18"/>
          <w:szCs w:val="18"/>
        </w:rPr>
        <w:t>,</w:t>
      </w:r>
      <w:hyperlink r:id="rId8" w:history="1">
        <w:r w:rsidR="00633236" w:rsidRPr="00C174E5">
          <w:rPr>
            <w:rStyle w:val="Hyperlink"/>
            <w:rFonts w:eastAsia="Times"/>
            <w:sz w:val="18"/>
            <w:szCs w:val="18"/>
          </w:rPr>
          <w:t>ekaaprilias05@gmail.com</w:t>
        </w:r>
        <w:r w:rsidR="00633236" w:rsidRPr="00C174E5">
          <w:rPr>
            <w:rStyle w:val="Hyperlink"/>
            <w:rFonts w:eastAsia="Times"/>
            <w:sz w:val="18"/>
            <w:szCs w:val="18"/>
            <w:vertAlign w:val="superscript"/>
          </w:rPr>
          <w:t>3</w:t>
        </w:r>
      </w:hyperlink>
      <w:r w:rsidR="00633236">
        <w:rPr>
          <w:rFonts w:eastAsia="Times"/>
          <w:sz w:val="18"/>
          <w:szCs w:val="18"/>
        </w:rPr>
        <w:t>, ukhti.ciptawaty@feb.unila.ac.id</w:t>
      </w:r>
      <w:r w:rsidR="00633236">
        <w:rPr>
          <w:rFonts w:eastAsia="Times"/>
          <w:sz w:val="18"/>
          <w:szCs w:val="18"/>
          <w:vertAlign w:val="superscript"/>
        </w:rPr>
        <w:t>4</w:t>
      </w:r>
    </w:p>
    <w:p w:rsidR="00274BE6" w:rsidRPr="0042530D" w:rsidRDefault="00274BE6">
      <w:pPr>
        <w:ind w:firstLine="227"/>
        <w:jc w:val="center"/>
      </w:pPr>
    </w:p>
    <w:p w:rsidR="00274BE6" w:rsidRPr="00634AE2" w:rsidRDefault="00FD0352" w:rsidP="00634AE2">
      <w:pPr>
        <w:ind w:firstLine="227"/>
        <w:jc w:val="center"/>
        <w:rPr>
          <w:rFonts w:eastAsia="Times"/>
          <w:sz w:val="18"/>
          <w:szCs w:val="18"/>
        </w:rPr>
      </w:pPr>
      <w:r w:rsidRPr="00FD0352">
        <w:rPr>
          <w:rFonts w:eastAsia="Times"/>
          <w:sz w:val="18"/>
          <w:szCs w:val="18"/>
        </w:rPr>
        <w:t>Department of EconomicsDevelopment, Faculty of Economics and Business</w:t>
      </w:r>
      <w:r w:rsidR="008A595E">
        <w:rPr>
          <w:rFonts w:eastAsia="Times"/>
          <w:sz w:val="18"/>
          <w:szCs w:val="18"/>
        </w:rPr>
        <w:br/>
      </w:r>
      <w:r w:rsidRPr="00FD0352">
        <w:rPr>
          <w:rFonts w:eastAsia="Times"/>
          <w:sz w:val="18"/>
          <w:szCs w:val="18"/>
        </w:rPr>
        <w:t>University</w:t>
      </w:r>
      <w:r>
        <w:rPr>
          <w:rFonts w:eastAsia="Times"/>
          <w:sz w:val="18"/>
          <w:szCs w:val="18"/>
        </w:rPr>
        <w:t xml:space="preserve"> of </w:t>
      </w:r>
      <w:r w:rsidRPr="00FD0352">
        <w:rPr>
          <w:rFonts w:eastAsia="Times"/>
          <w:sz w:val="18"/>
          <w:szCs w:val="18"/>
        </w:rPr>
        <w:t>Lampung</w:t>
      </w:r>
    </w:p>
    <w:p w:rsidR="00C8556E" w:rsidRPr="00C8556E" w:rsidRDefault="008153B4" w:rsidP="00C8556E">
      <w:pPr>
        <w:spacing w:before="400" w:after="120"/>
        <w:ind w:left="567" w:right="567"/>
        <w:jc w:val="both"/>
        <w:rPr>
          <w:rFonts w:eastAsia="Times"/>
          <w:i/>
          <w:iCs/>
          <w:sz w:val="18"/>
          <w:szCs w:val="18"/>
          <w:lang w:val="en-US"/>
        </w:rPr>
      </w:pPr>
      <w:r w:rsidRPr="0042530D">
        <w:rPr>
          <w:rFonts w:eastAsia="Times"/>
          <w:b/>
          <w:sz w:val="18"/>
          <w:szCs w:val="18"/>
        </w:rPr>
        <w:t>Abstract.</w:t>
      </w:r>
      <w:r w:rsidR="003A4C3A" w:rsidRPr="003A4C3A">
        <w:rPr>
          <w:rFonts w:eastAsia="Times"/>
          <w:i/>
          <w:iCs/>
          <w:sz w:val="18"/>
          <w:szCs w:val="18"/>
          <w:lang w:val="en-US"/>
        </w:rPr>
        <w:t>.</w:t>
      </w:r>
      <w:r w:rsidR="00C8556E" w:rsidRPr="00C8556E">
        <w:rPr>
          <w:rFonts w:eastAsia="Times"/>
          <w:i/>
          <w:iCs/>
          <w:sz w:val="18"/>
          <w:szCs w:val="18"/>
          <w:lang w:val="en-US"/>
        </w:rPr>
        <w:t>The objective of the research is identify the impact of coronavirus disease (Covid-19) on income, working hours and customers of merchant at Pahawang Island Tour, Pesawaran. The research was conducted by using primary data with quantitative descriptive analysis method and Wilcoxon Signed Rank test to determinate the impact of Covid-19 case. The results of this study showed that pandemic Covid-19 affected the income, working hours and the amount of merchant customer in Pahawang Island Tour, Pesawaran. Merchants gained more decreased in their income, working hours and customers of merchants during the Covid-19 pandemic.</w:t>
      </w:r>
    </w:p>
    <w:p w:rsidR="00C8556E" w:rsidRPr="00C8556E" w:rsidRDefault="00C8556E" w:rsidP="00C8556E">
      <w:pPr>
        <w:spacing w:before="400" w:after="120"/>
        <w:ind w:left="567" w:right="567"/>
        <w:jc w:val="both"/>
        <w:rPr>
          <w:rFonts w:eastAsia="Times"/>
          <w:i/>
          <w:iCs/>
          <w:sz w:val="18"/>
          <w:szCs w:val="18"/>
          <w:lang w:val="en-US"/>
        </w:rPr>
      </w:pPr>
      <w:r w:rsidRPr="00634AE2">
        <w:rPr>
          <w:rFonts w:eastAsia="Times"/>
          <w:b/>
          <w:i/>
          <w:iCs/>
          <w:sz w:val="18"/>
          <w:szCs w:val="18"/>
          <w:lang w:val="en-US"/>
        </w:rPr>
        <w:t>Keyword : Tour, Income, Working Hours, Customers, Merchants, Covid-</w:t>
      </w:r>
      <w:r w:rsidRPr="00C8556E">
        <w:rPr>
          <w:rFonts w:eastAsia="Times"/>
          <w:i/>
          <w:iCs/>
          <w:sz w:val="18"/>
          <w:szCs w:val="18"/>
          <w:lang w:val="en-US"/>
        </w:rPr>
        <w:t>19</w:t>
      </w:r>
    </w:p>
    <w:p w:rsidR="00274BE6" w:rsidRPr="0042530D" w:rsidRDefault="00D248A3">
      <w:pPr>
        <w:keepNext/>
        <w:keepLines/>
        <w:tabs>
          <w:tab w:val="left" w:pos="454"/>
        </w:tabs>
        <w:spacing w:before="520" w:after="280"/>
        <w:jc w:val="both"/>
      </w:pPr>
      <w:r>
        <w:rPr>
          <w:rFonts w:eastAsia="Times"/>
          <w:b/>
          <w:sz w:val="24"/>
          <w:szCs w:val="24"/>
        </w:rPr>
        <w:t xml:space="preserve">1. </w:t>
      </w:r>
      <w:r w:rsidR="008153B4" w:rsidRPr="0042530D">
        <w:rPr>
          <w:rFonts w:eastAsia="Times"/>
          <w:b/>
          <w:sz w:val="24"/>
          <w:szCs w:val="24"/>
        </w:rPr>
        <w:t>Introduction</w:t>
      </w:r>
    </w:p>
    <w:p w:rsidR="00944ABC" w:rsidRDefault="00944ABC" w:rsidP="00944ABC">
      <w:pPr>
        <w:ind w:firstLine="284"/>
        <w:jc w:val="both"/>
        <w:rPr>
          <w:rFonts w:eastAsia="Times"/>
          <w:lang w:val="en-US"/>
        </w:rPr>
      </w:pPr>
      <w:r w:rsidRPr="00944ABC">
        <w:rPr>
          <w:rFonts w:eastAsia="Times"/>
          <w:lang w:val="en-US"/>
        </w:rPr>
        <w:t>The development of tourism tends to show a very rapid progress from year to year, because more and more people get higher incomes and the socio- economic changes in countries in the world are the reasons for the development of tourism. Tourism foreign exchange is one of the reasons related to the importance of the tourism sector, where in the last five years, tourism foreign exchange earnings have continued to increase with an average annual rate of US $ 14.5 billion. When compared to other service exports, the share of foreign exchange for tourism is the highest, reaching 54% of total service exports. The tourism services balance surplus was also maintained, supported by a consistent increase intourismforeign exchange. In addition, amidst the contraction in exports of major commodities in recent years, the improving performance of tourism has placed the foreign exchange value of the tourism sector as the second largest after coal</w:t>
      </w:r>
      <w:r>
        <w:rPr>
          <w:rFonts w:eastAsia="Times"/>
          <w:lang w:val="en-US"/>
        </w:rPr>
        <w:t xml:space="preserve"> exports (Bank Indonesia, 2019)</w:t>
      </w:r>
    </w:p>
    <w:p w:rsidR="00944ABC" w:rsidRPr="00944ABC" w:rsidRDefault="00944ABC" w:rsidP="00944ABC">
      <w:pPr>
        <w:ind w:firstLine="284"/>
        <w:jc w:val="both"/>
        <w:rPr>
          <w:rFonts w:eastAsia="Times"/>
          <w:lang w:val="en-US"/>
        </w:rPr>
      </w:pPr>
      <w:r w:rsidRPr="00944ABC">
        <w:rPr>
          <w:rFonts w:eastAsia="Times"/>
          <w:lang w:val="en-US"/>
        </w:rPr>
        <w:t>In addition, in 2019 the number of tourist visits to Indonesia increased by16.1 million</w:t>
      </w:r>
      <w:r>
        <w:rPr>
          <w:rFonts w:eastAsia="Times"/>
          <w:lang w:val="en-US"/>
        </w:rPr>
        <w:t xml:space="preserve"> or an increase of 1.88% </w:t>
      </w:r>
      <w:r w:rsidRPr="00944ABC">
        <w:rPr>
          <w:rFonts w:eastAsia="Times"/>
          <w:lang w:val="en-US"/>
        </w:rPr>
        <w:t>compared to the previous year. Likewise in Lampung Province, according to the Lampung Province Tourism Office, the tourism sector is one of the income supports. The following is the number of domestic and foreign tourist visits in Lampung Province in 2014-2018:</w:t>
      </w:r>
    </w:p>
    <w:p w:rsidR="00944ABC" w:rsidRDefault="00944ABC" w:rsidP="00944ABC">
      <w:pPr>
        <w:ind w:firstLine="284"/>
        <w:jc w:val="both"/>
        <w:rPr>
          <w:rFonts w:eastAsia="Times"/>
          <w:lang w:val="en-US"/>
        </w:rPr>
      </w:pPr>
    </w:p>
    <w:p w:rsidR="00944ABC" w:rsidRDefault="00944ABC" w:rsidP="00944ABC">
      <w:pPr>
        <w:ind w:firstLine="284"/>
        <w:jc w:val="both"/>
        <w:rPr>
          <w:rFonts w:eastAsia="Times"/>
          <w:lang w:val="en-US"/>
        </w:rPr>
      </w:pPr>
    </w:p>
    <w:p w:rsidR="00944ABC" w:rsidRDefault="00944ABC" w:rsidP="00944ABC">
      <w:pPr>
        <w:ind w:firstLine="284"/>
        <w:jc w:val="both"/>
        <w:rPr>
          <w:rFonts w:eastAsia="Times"/>
          <w:lang w:val="en-US"/>
        </w:rPr>
      </w:pPr>
    </w:p>
    <w:p w:rsidR="00944ABC" w:rsidRDefault="00944ABC" w:rsidP="00944ABC">
      <w:pPr>
        <w:ind w:firstLine="284"/>
        <w:jc w:val="both"/>
        <w:rPr>
          <w:rFonts w:eastAsia="Times"/>
          <w:lang w:val="en-US"/>
        </w:rPr>
      </w:pPr>
    </w:p>
    <w:p w:rsidR="00944ABC" w:rsidRPr="00944ABC" w:rsidRDefault="00944ABC" w:rsidP="00944ABC">
      <w:pPr>
        <w:jc w:val="center"/>
        <w:rPr>
          <w:rFonts w:eastAsia="Times"/>
          <w:lang w:val="en-US"/>
        </w:rPr>
      </w:pPr>
      <w:r>
        <w:rPr>
          <w:rFonts w:eastAsia="Times"/>
          <w:noProof/>
          <w:lang w:val="en-US" w:eastAsia="en-US"/>
        </w:rPr>
        <w:drawing>
          <wp:anchor distT="0" distB="0" distL="0" distR="0" simplePos="0" relativeHeight="251665408" behindDoc="0" locked="0" layoutInCell="1" allowOverlap="1">
            <wp:simplePos x="0" y="0"/>
            <wp:positionH relativeFrom="page">
              <wp:posOffset>2192020</wp:posOffset>
            </wp:positionH>
            <wp:positionV relativeFrom="paragraph">
              <wp:posOffset>125095</wp:posOffset>
            </wp:positionV>
            <wp:extent cx="2885440" cy="1645920"/>
            <wp:effectExtent l="1905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85440" cy="1645920"/>
                    </a:xfrm>
                    <a:prstGeom prst="rect">
                      <a:avLst/>
                    </a:prstGeom>
                  </pic:spPr>
                </pic:pic>
              </a:graphicData>
            </a:graphic>
          </wp:anchor>
        </w:drawing>
      </w:r>
      <w:r w:rsidRPr="00944ABC">
        <w:rPr>
          <w:rFonts w:eastAsia="Times"/>
          <w:b/>
          <w:lang w:val="en-US"/>
        </w:rPr>
        <w:t>Figure 1.</w:t>
      </w:r>
      <w:r w:rsidRPr="00944ABC">
        <w:rPr>
          <w:rFonts w:eastAsia="Times"/>
          <w:lang w:val="en-US"/>
        </w:rPr>
        <w:t>Number of Tourist Visits per Regency/City in Lampung Province</w:t>
      </w:r>
    </w:p>
    <w:p w:rsidR="00944ABC" w:rsidRDefault="00944ABC" w:rsidP="00944ABC">
      <w:pPr>
        <w:jc w:val="both"/>
        <w:rPr>
          <w:rFonts w:eastAsia="Times"/>
        </w:rPr>
      </w:pPr>
    </w:p>
    <w:p w:rsidR="00944ABC" w:rsidRPr="00944ABC" w:rsidRDefault="00944ABC" w:rsidP="00944ABC">
      <w:pPr>
        <w:ind w:firstLine="284"/>
        <w:jc w:val="both"/>
        <w:rPr>
          <w:rFonts w:eastAsia="Times"/>
          <w:lang w:val="en-US"/>
        </w:rPr>
      </w:pPr>
      <w:r w:rsidRPr="00944ABC">
        <w:rPr>
          <w:rFonts w:eastAsia="Times"/>
          <w:lang w:val="en-US"/>
        </w:rPr>
        <w:t>In 2014-2018, the trend of growth in the Number of domestic and foreign tourists continued, the highest tourist growth occurred in 2016-2017, namely domestic tourists amounting to 54.33 percent</w:t>
      </w:r>
      <w:r>
        <w:rPr>
          <w:rFonts w:eastAsia="Times"/>
          <w:lang w:val="en-US"/>
        </w:rPr>
        <w:t xml:space="preserve"> and foreign tourists 58%.  </w:t>
      </w:r>
      <w:r w:rsidRPr="00944ABC">
        <w:rPr>
          <w:rFonts w:eastAsia="Times"/>
          <w:lang w:val="en-US"/>
        </w:rPr>
        <w:t>Pahawang Island has the characteristics of a beautiful underwater charm, both in the form of coral reefs and marine life in it. The leading tourism activity that can be done on Pahawang Island, namely snorkeling, where the diversity of the underwater world and marine life is still awake and staying on the island with various available homestays is a unique characteristic, far from urban areas, allowing tourists to relax their minds by watching the sunset and sunrise from Pahawang Island. In addition, access to Pahawang Island itself can only be passed by boat, so this is what makes Pahawang Island tourism different from other touristattractions.</w:t>
      </w:r>
    </w:p>
    <w:p w:rsidR="00944ABC" w:rsidRPr="00944ABC" w:rsidRDefault="00944ABC" w:rsidP="00944ABC">
      <w:pPr>
        <w:ind w:firstLine="284"/>
        <w:jc w:val="both"/>
        <w:rPr>
          <w:rFonts w:eastAsia="Times"/>
          <w:lang w:val="en-US"/>
        </w:rPr>
      </w:pPr>
      <w:r>
        <w:rPr>
          <w:rFonts w:eastAsia="Times"/>
          <w:noProof/>
          <w:lang w:val="en-US" w:eastAsia="en-US"/>
        </w:rPr>
        <w:drawing>
          <wp:anchor distT="0" distB="0" distL="0" distR="0" simplePos="0" relativeHeight="251667456" behindDoc="0" locked="0" layoutInCell="1" allowOverlap="1">
            <wp:simplePos x="0" y="0"/>
            <wp:positionH relativeFrom="page">
              <wp:posOffset>2288540</wp:posOffset>
            </wp:positionH>
            <wp:positionV relativeFrom="page">
              <wp:posOffset>6325235</wp:posOffset>
            </wp:positionV>
            <wp:extent cx="2938780" cy="1602740"/>
            <wp:effectExtent l="1905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938780" cy="1602740"/>
                    </a:xfrm>
                    <a:prstGeom prst="rect">
                      <a:avLst/>
                    </a:prstGeom>
                  </pic:spPr>
                </pic:pic>
              </a:graphicData>
            </a:graphic>
          </wp:anchor>
        </w:drawing>
      </w:r>
      <w:r w:rsidRPr="00944ABC">
        <w:rPr>
          <w:rFonts w:eastAsia="Times"/>
          <w:lang w:val="en-US"/>
        </w:rPr>
        <w:t>The number of tourist visitors to Pahawang Island itself in 2017-2019 continued to decrease because of the eruption of Mount Anak Krakatau that occurred during 2017-2018 in the form of a weak explosive eruption (strombolin) and a tsunami that hit the Sunda Strait on December 22, 2018 which caused thenumber of visitors to reduce. So, at the beginning of 2020 was a period of recovery for Pahawang Island tourism to begin to rise from previousyears.</w:t>
      </w:r>
    </w:p>
    <w:p w:rsidR="00944ABC" w:rsidRPr="00944ABC" w:rsidRDefault="00944ABC" w:rsidP="00944ABC">
      <w:pPr>
        <w:jc w:val="center"/>
        <w:rPr>
          <w:rFonts w:eastAsia="Times"/>
          <w:lang w:val="en-US"/>
        </w:rPr>
      </w:pPr>
      <w:r w:rsidRPr="00944ABC">
        <w:rPr>
          <w:rFonts w:eastAsia="Times"/>
          <w:b/>
          <w:lang w:val="en-US"/>
        </w:rPr>
        <w:t>Figure 2</w:t>
      </w:r>
      <w:r w:rsidRPr="00944ABC">
        <w:rPr>
          <w:rFonts w:eastAsia="Times"/>
          <w:lang w:val="en-US"/>
        </w:rPr>
        <w:t>. Number of Covid-19 Cases in Lampung and Number of Visitors to Pahawang</w:t>
      </w:r>
    </w:p>
    <w:p w:rsidR="00944ABC" w:rsidRDefault="00944ABC" w:rsidP="00944ABC">
      <w:pPr>
        <w:jc w:val="both"/>
        <w:rPr>
          <w:rFonts w:eastAsia="Times"/>
        </w:rPr>
      </w:pPr>
    </w:p>
    <w:p w:rsidR="00944ABC" w:rsidRDefault="00944ABC" w:rsidP="00B16235">
      <w:pPr>
        <w:tabs>
          <w:tab w:val="left" w:pos="1418"/>
        </w:tabs>
        <w:ind w:firstLine="284"/>
        <w:jc w:val="both"/>
        <w:rPr>
          <w:rFonts w:eastAsia="Times"/>
          <w:lang w:val="en-US"/>
        </w:rPr>
      </w:pPr>
      <w:r w:rsidRPr="00944ABC">
        <w:rPr>
          <w:rFonts w:eastAsia="Times"/>
          <w:lang w:val="en-US"/>
        </w:rPr>
        <w:t xml:space="preserve">From April to June 2020 the government closed tourism activities so that there were no activities related to tourism on Pahawang Island. In August the government gave allowance </w:t>
      </w:r>
      <w:r w:rsidRPr="00944ABC">
        <w:rPr>
          <w:rFonts w:eastAsia="Times"/>
          <w:lang w:val="en-US"/>
        </w:rPr>
        <w:lastRenderedPageBreak/>
        <w:t xml:space="preserve">the people to conduct tourist activities. The number of visitors kept ups and downs, there were many restrictions would be found in several areas, therefore they affected the tourism </w:t>
      </w:r>
      <w:r>
        <w:rPr>
          <w:rFonts w:eastAsia="Times"/>
          <w:lang w:val="en-US"/>
        </w:rPr>
        <w:t>A</w:t>
      </w:r>
      <w:r w:rsidRPr="00944ABC">
        <w:rPr>
          <w:rFonts w:eastAsia="Times"/>
          <w:lang w:val="en-US"/>
        </w:rPr>
        <w:t xml:space="preserve">ctivities. </w:t>
      </w:r>
      <w:r w:rsidR="00B16235" w:rsidRPr="00B16235">
        <w:rPr>
          <w:rFonts w:eastAsia="Times"/>
          <w:lang w:val="en-US"/>
        </w:rPr>
        <w:t xml:space="preserve">Moreover, the situation took place in December, especially a few days before the end of the year Pahawang Island was closed to avoid year-end celebrations at tourist sites. Tourism activities will be affected by various situations and circumstances, including the Covid-19 pandemic. The risk is greater when people are still traveling amidst Covid-19 cases in Lampung Province. This will ensure the safety of visitors, namely they will be infected with the corona virus. Related to this risk, there will be a change in the number of visitors on Pahawang Island and income traders on Pahawang Island. Based on previous research, an event will have an impact on tourism. According to </w:t>
      </w:r>
      <w:r w:rsidR="00213F06">
        <w:rPr>
          <w:rFonts w:eastAsia="Times"/>
          <w:lang w:val="en-US"/>
        </w:rPr>
        <w:fldChar w:fldCharType="begin" w:fldLock="1"/>
      </w:r>
      <w:r w:rsidR="00FB3F5F">
        <w:rPr>
          <w:rFonts w:eastAsia="Times"/>
          <w:lang w:val="en-US"/>
        </w:rPr>
        <w:instrText>ADDIN CSL_CITATION {"citationItems":[{"id":"ITEM-1","itemData":{"DOI":"10.1016/j.ijdrr.2020.101590","ISSN":"22124209","abstract":"This paper presents case studies where disasters provided a window of opportunity for change that included social action with (potentially) positive effects on the environment. The research literature was screened for empirical cases in support of societal changes with a focus on environmental issues, and a more in-depth case study of the extensive tree felling after the storm Gudrun in Sweden 2005 was also conducted. The case study is explored through available research as well as “grey” literature to identify societal actions taken after the storm that had – or not – an effect on environmental conditions. With the help of the framework presented by Birkmann et al. (2010), the study aims to characterise the nature of these anthropic changes. The framework was modified to focus specifically on societal actions implemented because of an “open window”, and the environmental effects of the actions. This enabled identifying changes with a positive/negative and intended/unintended effect on the environment, as well as determining if a change was based on formal or informal decisions. Several cases identified in the literature provide empirical support for the theory that disasters can generate a window of opportunity for positive environmental change. However, open windows are not always exploited, as is apparent in the case of the storm Gudrun.","author":[{"dropping-particle":"","family":"Davidsson","given":"Åsa","non-dropping-particle":"","parse-names":false,"suffix":""}],"container-title":"International Journal of Disaster Risk Reduction","id":"ITEM-1","issue":"March","issued":{"date-parts":[["2020"]]},"page":"101590","publisher":"Elsevier Ltd","title":"Disasters as an opportunity for improved environmental conditions","type":"article-journal","volume":"48"},"uris":["http://www.mendeley.com/documents/?uuid=5d19383a-c62e-4a30-a29e-c56a4c5820ff"]}],"mendeley":{"formattedCitation":"(Davidsson, 2020)","plainTextFormattedCitation":"(Davidsson, 2020)","previouslyFormattedCitation":"(Davidsson, 2020)"},"properties":{"noteIndex":0},"schema":"https://github.com/citation-style-language/schema/raw/master/csl-citation.json"}</w:instrText>
      </w:r>
      <w:r w:rsidR="00213F06">
        <w:rPr>
          <w:rFonts w:eastAsia="Times"/>
          <w:lang w:val="en-US"/>
        </w:rPr>
        <w:fldChar w:fldCharType="separate"/>
      </w:r>
      <w:r w:rsidR="00FB3F5F" w:rsidRPr="00FB3F5F">
        <w:rPr>
          <w:rFonts w:eastAsia="Times"/>
          <w:noProof/>
          <w:lang w:val="en-US"/>
        </w:rPr>
        <w:t>(Davidsson, 2020)</w:t>
      </w:r>
      <w:r w:rsidR="00213F06">
        <w:rPr>
          <w:rFonts w:eastAsia="Times"/>
          <w:lang w:val="en-US"/>
        </w:rPr>
        <w:fldChar w:fldCharType="end"/>
      </w:r>
      <w:r w:rsidR="00B16235" w:rsidRPr="00B16235">
        <w:rPr>
          <w:rFonts w:eastAsia="Times"/>
          <w:lang w:val="en-US"/>
        </w:rPr>
        <w:t xml:space="preserve"> that the earthquake in Italy 2009 offered new accommodation to government survivors (the so-called CASE project).</w:t>
      </w:r>
    </w:p>
    <w:p w:rsidR="00B16235" w:rsidRPr="00B16235" w:rsidRDefault="00B16235" w:rsidP="00B16235">
      <w:pPr>
        <w:tabs>
          <w:tab w:val="left" w:pos="1418"/>
        </w:tabs>
        <w:ind w:firstLine="284"/>
        <w:jc w:val="both"/>
        <w:rPr>
          <w:rFonts w:eastAsia="Times"/>
          <w:lang w:val="en-US"/>
        </w:rPr>
      </w:pPr>
      <w:r w:rsidRPr="00B16235">
        <w:rPr>
          <w:rFonts w:eastAsia="Times"/>
          <w:lang w:val="en-US"/>
        </w:rPr>
        <w:t xml:space="preserve">That was earthquake resistant, sustainable, environmentally friendly and compatible. In addition, normal floods usually have a positive impact on agricultural growth and even on the growth of other economic sectors. However, in contrast to research </w:t>
      </w:r>
      <w:r w:rsidR="00213F06">
        <w:rPr>
          <w:rFonts w:eastAsia="Times"/>
          <w:lang w:val="en-US"/>
        </w:rPr>
        <w:fldChar w:fldCharType="begin" w:fldLock="1"/>
      </w:r>
      <w:r w:rsidR="00FB3F5F">
        <w:rPr>
          <w:rFonts w:eastAsia="Times"/>
          <w:lang w:val="en-US"/>
        </w:rPr>
        <w:instrText>ADDIN CSL_CITATION {"citationItems":[{"id":"ITEM-1","itemData":{"DOI":"10.1016/j.tourman.2020.104080","ISSN":"02615177","abstract":"Tourism is shaped by a wide range of factors and forces, including exogenous ones that have no direct link with the tourism sector. Natural disasters and unexpected events are prime examples of such determining factors, as they have profound effects on individuals and society, and as a result have the potential to affect tourism flows considerably. Several theoretical arguments exist why natural disasters and unexpected events could influence tourist destination choices. However, empirical research to confirm the nature and extent of impacts of disasters on tourism is lacking. To address this gap, this paper incorporates a dataset on natural and man-made disaster events into a model of international tourism flows to evaluate the effect of different types of disasters on international arrivals at the national level. Findings provide evidence that the occurrence of different types of event change tourist flows to varying degrees. Although in some cases a positive effect is estimated, in general the impacts are negative, resulting in reduced tourist arrivals following an event. Understanding the relationship between disaster events and tourism is helpful for destination managers who make critical decisions in relation to recovery, reconstruction and marketing.","author":[{"dropping-particle":"","family":"Rosselló","given":"Jaume","non-dropping-particle":"","parse-names":false,"suffix":""},{"dropping-particle":"","family":"Becken","given":"Susanne","non-dropping-particle":"","parse-names":false,"suffix":""},{"dropping-particle":"","family":"Santana-Gallego","given":"Maria","non-dropping-particle":"","parse-names":false,"suffix":""}],"container-title":"Tourism Management","id":"ITEM-1","issue":"December 2019","issued":{"date-parts":[["2020"]]},"title":"The effects of natural disasters on international tourism: A global analysis","type":"article-journal","volume":"79"},"uris":["http://www.mendeley.com/documents/?uuid=b4c37170-438a-47fe-b006-70d8e1f3c471"]}],"mendeley":{"formattedCitation":"(Rosselló et al., 2020)","plainTextFormattedCitation":"(Rosselló et al., 2020)","previouslyFormattedCitation":"(Rosselló et al., 2020)"},"properties":{"noteIndex":0},"schema":"https://github.com/citation-style-language/schema/raw/master/csl-citation.json"}</w:instrText>
      </w:r>
      <w:r w:rsidR="00213F06">
        <w:rPr>
          <w:rFonts w:eastAsia="Times"/>
          <w:lang w:val="en-US"/>
        </w:rPr>
        <w:fldChar w:fldCharType="separate"/>
      </w:r>
      <w:r w:rsidR="00FB3F5F" w:rsidRPr="00FB3F5F">
        <w:rPr>
          <w:rFonts w:eastAsia="Times"/>
          <w:noProof/>
          <w:lang w:val="en-US"/>
        </w:rPr>
        <w:t>(Rosselló et al., 2020)</w:t>
      </w:r>
      <w:r w:rsidR="00213F06">
        <w:rPr>
          <w:rFonts w:eastAsia="Times"/>
          <w:lang w:val="en-US"/>
        </w:rPr>
        <w:fldChar w:fldCharType="end"/>
      </w:r>
      <w:r w:rsidR="00FB3F5F">
        <w:rPr>
          <w:rFonts w:eastAsia="Times"/>
          <w:lang w:val="en-US"/>
        </w:rPr>
        <w:t>,</w:t>
      </w:r>
      <w:r w:rsidRPr="00B16235">
        <w:rPr>
          <w:rFonts w:eastAsia="Times"/>
          <w:lang w:val="en-US"/>
        </w:rPr>
        <w:t xml:space="preserve"> natural disasters and unexpected events generally have a negative impact, resulting in reduced tourist arrivals after an event. In line with the research of</w:t>
      </w:r>
      <w:r w:rsidR="00213F06">
        <w:rPr>
          <w:rFonts w:eastAsia="Times"/>
          <w:lang w:val="en-US"/>
        </w:rPr>
        <w:fldChar w:fldCharType="begin" w:fldLock="1"/>
      </w:r>
      <w:r w:rsidR="00EE30CA">
        <w:rPr>
          <w:rFonts w:eastAsia="Times"/>
          <w:lang w:val="en-US"/>
        </w:rPr>
        <w:instrText>ADDIN CSL_CITATION {"citationItems":[{"id":"ITEM-1","itemData":{"DOI":"10.1016/j.worlddev.2019.104699","ISSN":"18735991","abstract":"Climate change is projected to detrimentally affect African countries’ economic development, while income inequalities across economies is among the highest on the planet. However, it is projected that income levels would converge on the continent. Hitherto there is limited evidence on how climate change could affect projected income convergence, accelerating, slowing down, or even reversing this process. Here, we analyze convergence considering climate-change damages, by employing an economic model embedding the three dimensions of risks at the country-level: exposure, vulnerability and hazards. The results show (1) with historical mean climate-induced losses between 10 and 15 percent of GDP per capita growth, the majority of African economies are poorly adapted to their current climatic conditions, (2) Western and Eastern African countries are projected to be the most affected countries on the continent and (3) As a consequence of these heightened impacts on a number of countries, inequalities between countries are projected to widen in the high warming scenario compared to inequalities in the low and without warming scenarios. To mitigate the impacts of economic development and inequalities across countries, we stress (1) the importance of mitigation ambition and Africa's leadership in keeping global mean temperature increase below 1.5 °C, (2) the need to address the current adaptation deficit as soon as possible, (3) the necessity to integrate quantitatively climate risks in economic and development planning and finally (4) we advocate for the generalization of a special treatment for the most vulnerable countries to access climate-related finance. The analysis raises issues on the ability of African countries to reach their SDGs targets and the potential increasing risk of instability, migration across African countries, of decreased trade and economic cooperation opportunities as a consequence of climate change – exacerbating its negative consequences.","author":[{"dropping-particle":"","family":"Baarsch","given":"Florent","non-dropping-particle":"","parse-names":false,"suffix":""},{"dropping-particle":"","family":"Granadillos","given":"Jessie R.","non-dropping-particle":"","parse-names":false,"suffix":""},{"dropping-particle":"","family":"Hare","given":"William","non-dropping-particle":"","parse-names":false,"suffix":""},{"dropping-particle":"","family":"Knaus","given":"Maria","non-dropping-particle":"","parse-names":false,"suffix":""},{"dropping-particle":"","family":"Krapp","given":"Mario","non-dropping-particle":"","parse-names":false,"suffix":""},{"dropping-particle":"","family":"Schaeffer","given":"Michiel","non-dropping-particle":"","parse-names":false,"suffix":""},{"dropping-particle":"","family":"Lotze-Campen","given":"Hermann","non-dropping-particle":"","parse-names":false,"suffix":""}],"container-title":"World Development","id":"ITEM-1","issued":{"date-parts":[["2020"]]},"page":"104699","publisher":"Elsevier Ltd","title":"The impact of climate change on incomes and convergence in Africa","type":"article-journal","volume":"126"},"uris":["http://www.mendeley.com/documents/?uuid=fa0d3c04-e04f-44fa-9b4c-55a97b7a30f6"]}],"mendeley":{"formattedCitation":"(Baarsch et al., 2020)","plainTextFormattedCitation":"(Baarsch et al., 2020)","previouslyFormattedCitation":"(Baarsch et al., 2020)"},"properties":{"noteIndex":0},"schema":"https://github.com/citation-style-language/schema/raw/master/csl-citation.json"}</w:instrText>
      </w:r>
      <w:r w:rsidR="00213F06">
        <w:rPr>
          <w:rFonts w:eastAsia="Times"/>
          <w:lang w:val="en-US"/>
        </w:rPr>
        <w:fldChar w:fldCharType="separate"/>
      </w:r>
      <w:r w:rsidR="00FB3F5F" w:rsidRPr="00FB3F5F">
        <w:rPr>
          <w:rFonts w:eastAsia="Times"/>
          <w:noProof/>
          <w:lang w:val="en-US"/>
        </w:rPr>
        <w:t>(Baarsch et al., 2020)</w:t>
      </w:r>
      <w:r w:rsidR="00213F06">
        <w:rPr>
          <w:rFonts w:eastAsia="Times"/>
          <w:lang w:val="en-US"/>
        </w:rPr>
        <w:fldChar w:fldCharType="end"/>
      </w:r>
      <w:r w:rsidR="00FB3F5F">
        <w:rPr>
          <w:rFonts w:eastAsia="Times"/>
          <w:lang w:val="en-US"/>
        </w:rPr>
        <w:t>,</w:t>
      </w:r>
      <w:r w:rsidRPr="00B16235">
        <w:rPr>
          <w:rFonts w:eastAsia="Times"/>
          <w:lang w:val="en-US"/>
        </w:rPr>
        <w:t xml:space="preserve"> that the problem of the ability of African countries to achieve the SDGs target and the potential for increased risk of instability, migration across African countries, decreased trade and opportunities for economic cooperation as a consequence of climate change. exacerbates the negative consequences. In addition, research related to differences before and after changes in conditions, namely research from </w:t>
      </w:r>
      <w:r w:rsidR="00213F06">
        <w:rPr>
          <w:rFonts w:eastAsia="Times"/>
          <w:lang w:val="en-US"/>
        </w:rPr>
        <w:fldChar w:fldCharType="begin" w:fldLock="1"/>
      </w:r>
      <w:r w:rsidR="00EE30CA">
        <w:rPr>
          <w:rFonts w:eastAsia="Times"/>
          <w:lang w:val="en-US"/>
        </w:rPr>
        <w:instrText>ADDIN CSL_CITATION {"citationItems":[{"id":"ITEM-1","itemData":{"DOI":"10.1016/j.worlddev.2018.01.001","ISSN":"18735991","abstract":"We explore the relationship between natural disasters and income inequality in Sri Lanka as the first study of this nature for the country. The analysis uses a unique panel data set constructed for the purpose of this paper. It contains district inequality measures based on household income reported in six waves of the Household Income and Expenditure Survey of Sri Lanka during the period between 1990 and 2013, data on disaster affected population and other economic and social indicators. Employing a panel fixed effects estimator, we find that contemporaneous natural disasters and their immediate lags significantly and substantially decrease inequality in per adult equivalent household income as measured by the Theil index. Findings are robust across various inequality metrics, sub-samples and alternative estimators such as Ordinary Least Squares and System GMM. However, natural disasters do not affect household expenditure inequality. Either households behave as if they have a permanent income or all households reduce their expenditure proportionately irrespective of their income level in responding to natural disasters. Natural disasters decrease non-seasonal agricultural and non-agricultural income inequality but increase seasonal agricultural income inequality. Income of richer households is mainly derived from non-agricultural sources such as manufacturing and business activities and non-seasonal agricultural activities. Poorer households have a higher share of agricultural income.","author":[{"dropping-particle":"","family":"Keerthiratne","given":"Subhani","non-dropping-particle":"","parse-names":false,"suffix":""},{"dropping-particle":"","family":"Tol","given":"Richard S.J.","non-dropping-particle":"","parse-names":false,"suffix":""}],"container-title":"World Development","id":"ITEM-1","issued":{"date-parts":[["2018"]]},"page":"217-230","publisher":"Elsevier Ltd","title":"Impact of natural disasters on income inequality in Sri Lanka","type":"article-journal","volume":"105"},"uris":["http://www.mendeley.com/documents/?uuid=a31110da-2921-42a1-bd8b-0b49d6e92872"]}],"mendeley":{"formattedCitation":"(Keerthiratne &amp; Tol, 2018)","plainTextFormattedCitation":"(Keerthiratne &amp; Tol, 2018)","previouslyFormattedCitation":"(Keerthiratne &amp; Tol, 2018)"},"properties":{"noteIndex":0},"schema":"https://github.com/citation-style-language/schema/raw/master/csl-citation.json"}</w:instrText>
      </w:r>
      <w:r w:rsidR="00213F06">
        <w:rPr>
          <w:rFonts w:eastAsia="Times"/>
          <w:lang w:val="en-US"/>
        </w:rPr>
        <w:fldChar w:fldCharType="separate"/>
      </w:r>
      <w:r w:rsidR="00EE30CA" w:rsidRPr="00EE30CA">
        <w:rPr>
          <w:rFonts w:eastAsia="Times"/>
          <w:noProof/>
          <w:lang w:val="en-US"/>
        </w:rPr>
        <w:t>(Keerthiratne &amp; Tol, 2018)</w:t>
      </w:r>
      <w:r w:rsidR="00213F06">
        <w:rPr>
          <w:rFonts w:eastAsia="Times"/>
          <w:lang w:val="en-US"/>
        </w:rPr>
        <w:fldChar w:fldCharType="end"/>
      </w:r>
      <w:r w:rsidRPr="00B16235">
        <w:rPr>
          <w:rFonts w:eastAsia="Times"/>
          <w:lang w:val="en-US"/>
        </w:rPr>
        <w:t xml:space="preserve">) results from a model related to the impact of natural disasters in Sri Lanka at this time on inequality and changes in different levels of income. Next, the research results of </w:t>
      </w:r>
      <w:r w:rsidR="00213F06">
        <w:rPr>
          <w:rFonts w:eastAsia="Times"/>
          <w:lang w:val="en-US"/>
        </w:rPr>
        <w:fldChar w:fldCharType="begin" w:fldLock="1"/>
      </w:r>
      <w:r w:rsidR="00EE30CA">
        <w:rPr>
          <w:rFonts w:eastAsia="Times"/>
          <w:lang w:val="en-US"/>
        </w:rPr>
        <w:instrText>ADDIN CSL_CITATION {"citationItems":[{"id":"ITEM-1","itemData":{"DOI":"10.3390/ijerph17155485","ISSN":"16604601","PMID":"32751368","abstract":"The present paper intends to address the impact of COVID-19 crisis upon the consumer buying behavior of fresh vegetables directly from local producers as observed 30 days later, after enforcing the state of emergency in Romania within a well-defined area, namely, the quarantined area of Suceava. The study relies on the interpretation of answers received from the quarantined area (N = 257) to a questionnaire applied online nationwide. The starting point of this paper is the analysis of the sociodemographic factors on the purchasing decision of fresh vegetables directly from local producers before declaring the state of emergency in Romania (16 March 2020). Further research has been conducted by interpreting the changes triggered by the COVID-19 crisis on the purchasing intention of such products before and after the end of the respective crisis. The aim of this scientific investigation relies on identifying the methods by which these behavioral changes can influence the digital transformation of short food supply chains.","author":[{"dropping-particle":"","family":"Butu","given":"Alina","non-dropping-particle":"","parse-names":false,"suffix":""},{"dropping-particle":"","family":"Brumă","given":"Ioan Sebastian","non-dropping-particle":"","parse-names":false,"suffix":""},{"dropping-particle":"","family":"Tanasă","given":"Lucian","non-dropping-particle":"","parse-names":false,"suffix":""},{"dropping-particle":"","family":"Rodino","given":"Steliana","non-dropping-particle":"","parse-names":false,"suffix":""},{"dropping-particle":"","family":"Vasiliu","given":"Codrin Dinu","non-dropping-particle":"","parse-names":false,"suffix":""},{"dropping-particle":"","family":"Doboș","given":"Sebastian","non-dropping-particle":"","parse-names":false,"suffix":""},{"dropping-particle":"","family":"Butu","given":"Marian","non-dropping-particle":"","parse-names":false,"suffix":""}],"container-title":"International Journal of Environmental Research and Public Health","id":"ITEM-1","issue":"15","issued":{"date-parts":[["2020"]]},"page":"1-25","title":"The impact of COVID-19 crisis upon the consumer buying behavior of fresh vegetables directly from local producers. Case study: The quarantined area of Suceava County, Romania","type":"article-journal","volume":"17"},"uris":["http://www.mendeley.com/documents/?uuid=ead01faa-38ae-4c38-8895-fee1bd3c6500"]}],"mendeley":{"formattedCitation":"(Butu et al., 2020)","plainTextFormattedCitation":"(Butu et al., 2020)","previouslyFormattedCitation":"(Butu et al., 2020)"},"properties":{"noteIndex":0},"schema":"https://github.com/citation-style-language/schema/raw/master/csl-citation.json"}</w:instrText>
      </w:r>
      <w:r w:rsidR="00213F06">
        <w:rPr>
          <w:rFonts w:eastAsia="Times"/>
          <w:lang w:val="en-US"/>
        </w:rPr>
        <w:fldChar w:fldCharType="separate"/>
      </w:r>
      <w:r w:rsidR="00EE30CA" w:rsidRPr="00EE30CA">
        <w:rPr>
          <w:rFonts w:eastAsia="Times"/>
          <w:noProof/>
          <w:lang w:val="en-US"/>
        </w:rPr>
        <w:t>(Butu et al., 2020)</w:t>
      </w:r>
      <w:r w:rsidR="00213F06">
        <w:rPr>
          <w:rFonts w:eastAsia="Times"/>
          <w:lang w:val="en-US"/>
        </w:rPr>
        <w:fldChar w:fldCharType="end"/>
      </w:r>
      <w:r w:rsidR="00EE30CA">
        <w:rPr>
          <w:rFonts w:eastAsia="Times"/>
          <w:lang w:val="en-US"/>
        </w:rPr>
        <w:t>,</w:t>
      </w:r>
      <w:r w:rsidRPr="00B16235">
        <w:rPr>
          <w:rFonts w:eastAsia="Times"/>
          <w:lang w:val="en-US"/>
        </w:rPr>
        <w:t xml:space="preserve"> that during the Covid-19 pandemic, the number of clients in hypermarkets and supermarkets has decreased significantly, while convenience stores, butchers and grocery stores have gradually gained popularity.</w:t>
      </w:r>
    </w:p>
    <w:p w:rsidR="00B16235" w:rsidRPr="00944ABC" w:rsidRDefault="00B16235" w:rsidP="00B16235">
      <w:pPr>
        <w:tabs>
          <w:tab w:val="left" w:pos="1418"/>
        </w:tabs>
        <w:ind w:firstLine="284"/>
        <w:jc w:val="both"/>
        <w:rPr>
          <w:rFonts w:eastAsia="Times"/>
          <w:lang w:val="en-US"/>
        </w:rPr>
      </w:pPr>
      <w:r w:rsidRPr="00B16235">
        <w:rPr>
          <w:rFonts w:eastAsia="Times"/>
          <w:lang w:val="en-US"/>
        </w:rPr>
        <w:t>Based on differences in the results of various previous studies and the findings of researchers during the pre-survey, namely changes in the conditions of the presence of Covid-19, it attracted the author to conduct this research regarding the impact of the non-natural disaster Coronavirus Disease (Covid-19) on Pahawang Island tourism, by taking the variables of income, working hours, and the number of merchant consumers before and during the Covid-19</w:t>
      </w:r>
    </w:p>
    <w:p w:rsidR="00923E7E" w:rsidRPr="00923E7E" w:rsidRDefault="00923E7E" w:rsidP="00B16235">
      <w:pPr>
        <w:jc w:val="both"/>
        <w:rPr>
          <w:rFonts w:eastAsia="Times"/>
        </w:rPr>
      </w:pPr>
    </w:p>
    <w:p w:rsidR="000C1FA8" w:rsidRDefault="001B1E4E" w:rsidP="001B1E4E">
      <w:pPr>
        <w:jc w:val="both"/>
        <w:rPr>
          <w:rFonts w:eastAsia="Times"/>
          <w:b/>
          <w:sz w:val="24"/>
          <w:szCs w:val="24"/>
        </w:rPr>
      </w:pPr>
      <w:r>
        <w:rPr>
          <w:rFonts w:eastAsia="Times"/>
          <w:b/>
          <w:sz w:val="24"/>
          <w:szCs w:val="24"/>
        </w:rPr>
        <w:t>2</w:t>
      </w:r>
      <w:r w:rsidR="00923E7E">
        <w:rPr>
          <w:rFonts w:eastAsia="Times"/>
          <w:b/>
          <w:sz w:val="24"/>
          <w:szCs w:val="24"/>
        </w:rPr>
        <w:t xml:space="preserve">. </w:t>
      </w:r>
      <w:r>
        <w:rPr>
          <w:rFonts w:eastAsia="Times"/>
          <w:b/>
          <w:sz w:val="24"/>
          <w:szCs w:val="24"/>
        </w:rPr>
        <w:t>Literature Review</w:t>
      </w:r>
    </w:p>
    <w:p w:rsidR="00B16235" w:rsidRDefault="00B16235" w:rsidP="008126F2">
      <w:pPr>
        <w:ind w:firstLine="284"/>
        <w:jc w:val="both"/>
        <w:rPr>
          <w:rFonts w:eastAsia="Times"/>
          <w:bCs/>
          <w:lang w:val="en-US"/>
        </w:rPr>
      </w:pPr>
    </w:p>
    <w:p w:rsidR="00923E7E" w:rsidRDefault="00B16235" w:rsidP="008126F2">
      <w:pPr>
        <w:ind w:firstLine="284"/>
        <w:jc w:val="both"/>
        <w:rPr>
          <w:rFonts w:eastAsia="Times"/>
          <w:lang w:val="en-US"/>
        </w:rPr>
      </w:pPr>
      <w:r w:rsidRPr="00B16235">
        <w:rPr>
          <w:rFonts w:eastAsia="Times"/>
          <w:bCs/>
          <w:lang w:val="en-US"/>
        </w:rPr>
        <w:t>The impact of natural and non-natural disasters on the economic aspect would cause the growth of economy slow down, due to obstruction of all economic activities would cause an economic decline, where before the pandemic took place, the community was used to carryout their daily economic activities, but after the pandemic, they were encouraged to carry out activities from home and reduce activities outside the home, including tourist activities fortourists</w:t>
      </w:r>
      <w:r w:rsidR="00923E7E" w:rsidRPr="000C1FA8">
        <w:rPr>
          <w:rFonts w:eastAsia="Times"/>
          <w:lang w:val="en-US"/>
        </w:rPr>
        <w:t>.</w:t>
      </w:r>
    </w:p>
    <w:p w:rsidR="00B16235" w:rsidRPr="000C1FA8" w:rsidRDefault="00B16235" w:rsidP="008126F2">
      <w:pPr>
        <w:ind w:firstLine="284"/>
        <w:jc w:val="both"/>
        <w:rPr>
          <w:rFonts w:eastAsia="Times"/>
          <w:lang w:val="en-US"/>
        </w:rPr>
      </w:pPr>
      <w:r w:rsidRPr="00B16235">
        <w:rPr>
          <w:rFonts w:eastAsia="Times"/>
          <w:lang w:val="en-US"/>
        </w:rPr>
        <w:t>The impact of natural and non-natural disasters on the economic aspect would cause the growth of economy slow down, due to obstruction of all economic activities would cause an economic decline, where before the pandemic took place, the community was used to carryout their daily economic activities, but after the pandemic, they were encouraged to carry out activities from home and reduce activities outside the home, including tourist activities fortourists</w:t>
      </w:r>
    </w:p>
    <w:p w:rsidR="00D248A3" w:rsidRDefault="00D248A3" w:rsidP="00923E7E">
      <w:pPr>
        <w:ind w:firstLine="426"/>
        <w:jc w:val="both"/>
        <w:rPr>
          <w:rFonts w:eastAsia="Times"/>
          <w:szCs w:val="24"/>
          <w:lang w:val="en-US"/>
        </w:rPr>
      </w:pPr>
    </w:p>
    <w:p w:rsidR="001B1E4E" w:rsidRDefault="00923E7E" w:rsidP="001B1E4E">
      <w:pPr>
        <w:jc w:val="both"/>
        <w:rPr>
          <w:rFonts w:eastAsia="Times"/>
          <w:b/>
          <w:sz w:val="24"/>
          <w:szCs w:val="24"/>
        </w:rPr>
      </w:pPr>
      <w:r>
        <w:rPr>
          <w:rFonts w:eastAsia="Times"/>
          <w:b/>
          <w:sz w:val="24"/>
          <w:szCs w:val="24"/>
        </w:rPr>
        <w:lastRenderedPageBreak/>
        <w:t xml:space="preserve">3. </w:t>
      </w:r>
      <w:r w:rsidR="001B1E4E">
        <w:rPr>
          <w:rFonts w:eastAsia="Times"/>
          <w:b/>
          <w:sz w:val="24"/>
          <w:szCs w:val="24"/>
        </w:rPr>
        <w:t>Methodology</w:t>
      </w:r>
      <w:r w:rsidR="00A417FC">
        <w:rPr>
          <w:rFonts w:eastAsia="Times"/>
          <w:b/>
          <w:sz w:val="24"/>
          <w:szCs w:val="24"/>
        </w:rPr>
        <w:t xml:space="preserve"> and Data Analysis</w:t>
      </w:r>
    </w:p>
    <w:p w:rsidR="00B16235" w:rsidRDefault="00B16235" w:rsidP="001B1E4E">
      <w:pPr>
        <w:jc w:val="both"/>
        <w:rPr>
          <w:rFonts w:eastAsia="Times"/>
          <w:b/>
          <w:sz w:val="24"/>
          <w:szCs w:val="24"/>
        </w:rPr>
      </w:pPr>
    </w:p>
    <w:p w:rsidR="00B16235" w:rsidRPr="00B16235" w:rsidRDefault="00B16235" w:rsidP="00B16235">
      <w:pPr>
        <w:jc w:val="both"/>
        <w:rPr>
          <w:rFonts w:eastAsia="Times"/>
          <w:b/>
          <w:lang w:val="en-US"/>
        </w:rPr>
      </w:pPr>
      <w:r w:rsidRPr="00B16235">
        <w:rPr>
          <w:rFonts w:eastAsia="Times"/>
          <w:b/>
          <w:lang w:val="en-US"/>
        </w:rPr>
        <w:t>Location of the Research</w:t>
      </w:r>
    </w:p>
    <w:p w:rsidR="00B16235" w:rsidRPr="00B16235" w:rsidRDefault="00B16235" w:rsidP="00B16235">
      <w:pPr>
        <w:ind w:firstLine="284"/>
        <w:jc w:val="both"/>
        <w:rPr>
          <w:rFonts w:eastAsia="Times"/>
          <w:b/>
          <w:lang w:val="en-US"/>
        </w:rPr>
      </w:pPr>
      <w:r w:rsidRPr="00B16235">
        <w:rPr>
          <w:rFonts w:eastAsia="Times"/>
          <w:lang w:val="en-US"/>
        </w:rPr>
        <w:t>This research was conducted in Pahawang Island and Ketapang pier which were the main entrances with 4 piers to Pahawang Island. This locatio had various advantages as an attraction, easy accessibility, it was about 1 hour from Bandar Lampung to reach the location and the road is quite good. In addition, tourism activities such as snorkeling and staying at a homestay were carried out and become a leading activity in Pahawang Island tours</w:t>
      </w:r>
      <w:r w:rsidRPr="00B16235">
        <w:rPr>
          <w:rFonts w:eastAsia="Times"/>
          <w:b/>
          <w:lang w:val="en-US"/>
        </w:rPr>
        <w:t>.</w:t>
      </w:r>
    </w:p>
    <w:p w:rsidR="00B16235" w:rsidRDefault="00B16235" w:rsidP="001B1E4E">
      <w:pPr>
        <w:jc w:val="both"/>
        <w:rPr>
          <w:rFonts w:eastAsia="Times"/>
          <w:b/>
          <w:sz w:val="24"/>
          <w:szCs w:val="24"/>
        </w:rPr>
      </w:pPr>
    </w:p>
    <w:p w:rsidR="008126F2" w:rsidRPr="00B16235" w:rsidRDefault="00B16235" w:rsidP="00B16235">
      <w:pPr>
        <w:rPr>
          <w:rFonts w:eastAsia="Times"/>
          <w:b/>
          <w:bCs/>
          <w:szCs w:val="24"/>
          <w:lang w:val="en-US"/>
        </w:rPr>
      </w:pPr>
      <w:r w:rsidRPr="00B16235">
        <w:rPr>
          <w:rFonts w:eastAsia="Times"/>
          <w:b/>
          <w:bCs/>
          <w:szCs w:val="24"/>
          <w:lang w:val="en-US"/>
        </w:rPr>
        <w:t>Data Collecting Techniques</w:t>
      </w:r>
    </w:p>
    <w:p w:rsidR="00B16235" w:rsidRPr="00B16235" w:rsidRDefault="00B16235" w:rsidP="00B16235">
      <w:pPr>
        <w:numPr>
          <w:ilvl w:val="0"/>
          <w:numId w:val="3"/>
        </w:numPr>
        <w:jc w:val="both"/>
        <w:rPr>
          <w:rFonts w:eastAsia="Times"/>
          <w:szCs w:val="24"/>
          <w:lang w:val="en-US"/>
        </w:rPr>
      </w:pPr>
      <w:r w:rsidRPr="00B16235">
        <w:rPr>
          <w:rFonts w:eastAsia="Times"/>
          <w:szCs w:val="24"/>
          <w:lang w:val="en-US"/>
        </w:rPr>
        <w:t>Interview: Direct interviews with respondents using instruments or a questionnaire whichvwere contained questions related to income, working hours and the number of consumertraders.</w:t>
      </w:r>
    </w:p>
    <w:p w:rsidR="00B16235" w:rsidRPr="00B16235" w:rsidRDefault="00B16235" w:rsidP="00B16235">
      <w:pPr>
        <w:numPr>
          <w:ilvl w:val="0"/>
          <w:numId w:val="3"/>
        </w:numPr>
        <w:jc w:val="both"/>
        <w:rPr>
          <w:rFonts w:eastAsia="Times"/>
          <w:szCs w:val="24"/>
          <w:lang w:val="en-US"/>
        </w:rPr>
      </w:pPr>
      <w:r w:rsidRPr="00B16235">
        <w:rPr>
          <w:rFonts w:eastAsia="Times"/>
          <w:szCs w:val="24"/>
          <w:lang w:val="en-US"/>
        </w:rPr>
        <w:t>Secondary Data Collection: Secondary data which covered the number of tourists in Lampung Province and Pahawang Island, Covid-19 data and the statistics on foreign exchange reserves in the tourism sector were obtained through relatedinstitutions.</w:t>
      </w:r>
    </w:p>
    <w:p w:rsidR="00CB4FF1" w:rsidRDefault="00CB4FF1" w:rsidP="00CB4FF1">
      <w:pPr>
        <w:ind w:left="284"/>
        <w:jc w:val="both"/>
        <w:rPr>
          <w:rFonts w:eastAsia="Times"/>
          <w:szCs w:val="24"/>
          <w:lang w:val="en-US"/>
        </w:rPr>
      </w:pPr>
    </w:p>
    <w:p w:rsidR="00B16235" w:rsidRDefault="00B16235" w:rsidP="00B16235">
      <w:pPr>
        <w:jc w:val="both"/>
        <w:rPr>
          <w:rFonts w:eastAsia="Times"/>
          <w:b/>
          <w:bCs/>
          <w:szCs w:val="24"/>
          <w:lang w:val="en-US"/>
        </w:rPr>
      </w:pPr>
      <w:r w:rsidRPr="00B16235">
        <w:rPr>
          <w:rFonts w:eastAsia="Times"/>
          <w:b/>
          <w:bCs/>
          <w:szCs w:val="24"/>
          <w:lang w:val="en-US"/>
        </w:rPr>
        <w:t>The Technique of Analizing Data</w:t>
      </w:r>
    </w:p>
    <w:p w:rsidR="00295826" w:rsidRPr="00B16235" w:rsidRDefault="00295826" w:rsidP="00B16235">
      <w:pPr>
        <w:jc w:val="both"/>
        <w:rPr>
          <w:rFonts w:eastAsia="Times"/>
          <w:b/>
          <w:bCs/>
          <w:szCs w:val="24"/>
          <w:lang w:val="en-US"/>
        </w:rPr>
      </w:pPr>
    </w:p>
    <w:p w:rsidR="00B16235" w:rsidRDefault="00B16235" w:rsidP="00B16235">
      <w:pPr>
        <w:ind w:firstLine="284"/>
        <w:jc w:val="both"/>
        <w:rPr>
          <w:rFonts w:eastAsia="Times"/>
          <w:bCs/>
          <w:szCs w:val="24"/>
          <w:lang w:val="en-US"/>
        </w:rPr>
      </w:pPr>
      <w:r w:rsidRPr="00B16235">
        <w:rPr>
          <w:rFonts w:eastAsia="Times"/>
          <w:bCs/>
          <w:szCs w:val="24"/>
          <w:lang w:val="en-US"/>
        </w:rPr>
        <w:t>In analizing data the researcher used the normality and significance difference test. The normality test was carried out to assess the validity of the data using the Komogorov Smirnov (Liliefor) test with the SPSS version 20 program to determine whether the data was normally distributed or not. Next, a paired sample t-test could  be done for normally distributed data or the Wilcoxon signed rank test for data not normally distributed. The significance difference test was carried out to test the difference between paired data through the before and after observationdata.</w:t>
      </w:r>
    </w:p>
    <w:p w:rsidR="00295826" w:rsidRPr="00B16235" w:rsidRDefault="00295826" w:rsidP="00B16235">
      <w:pPr>
        <w:ind w:firstLine="284"/>
        <w:jc w:val="both"/>
        <w:rPr>
          <w:rFonts w:eastAsia="Times"/>
          <w:bCs/>
          <w:szCs w:val="24"/>
          <w:lang w:val="en-US"/>
        </w:rPr>
      </w:pPr>
    </w:p>
    <w:p w:rsidR="00B16235" w:rsidRPr="00B16235" w:rsidRDefault="00B16235" w:rsidP="00233258">
      <w:pPr>
        <w:ind w:firstLine="284"/>
        <w:jc w:val="both"/>
        <w:rPr>
          <w:rFonts w:eastAsia="Times"/>
          <w:bCs/>
          <w:szCs w:val="24"/>
          <w:lang w:val="en-US"/>
        </w:rPr>
      </w:pPr>
      <w:r w:rsidRPr="00B16235">
        <w:rPr>
          <w:rFonts w:eastAsia="Times"/>
          <w:bCs/>
          <w:szCs w:val="24"/>
          <w:lang w:val="en-US"/>
        </w:rPr>
        <w:t>Operational variables was used to this study use income, working hours and the number of consumer merchants.</w:t>
      </w:r>
    </w:p>
    <w:p w:rsidR="00B16235" w:rsidRPr="00B16235" w:rsidRDefault="00B16235" w:rsidP="00B16235">
      <w:pPr>
        <w:numPr>
          <w:ilvl w:val="0"/>
          <w:numId w:val="4"/>
        </w:numPr>
        <w:jc w:val="both"/>
        <w:rPr>
          <w:rFonts w:eastAsia="Times"/>
          <w:bCs/>
          <w:szCs w:val="24"/>
          <w:lang w:val="en-US"/>
        </w:rPr>
      </w:pPr>
      <w:r w:rsidRPr="00B16235">
        <w:rPr>
          <w:rFonts w:eastAsia="Times"/>
          <w:bCs/>
          <w:szCs w:val="24"/>
          <w:lang w:val="en-US"/>
        </w:rPr>
        <w:t>Income: traders' perceptions of income earned per day before and during the Covid-19 without deducting other expenses. This merchant's income was expressed in rupiah(Rp).</w:t>
      </w:r>
    </w:p>
    <w:p w:rsidR="00233258" w:rsidRDefault="00B16235" w:rsidP="00B16235">
      <w:pPr>
        <w:numPr>
          <w:ilvl w:val="0"/>
          <w:numId w:val="4"/>
        </w:numPr>
        <w:jc w:val="both"/>
        <w:rPr>
          <w:rFonts w:eastAsia="Times"/>
          <w:bCs/>
          <w:szCs w:val="24"/>
          <w:lang w:val="en-US"/>
        </w:rPr>
      </w:pPr>
      <w:r w:rsidRPr="00B16235">
        <w:rPr>
          <w:rFonts w:eastAsia="Times"/>
          <w:bCs/>
          <w:szCs w:val="24"/>
          <w:lang w:val="en-US"/>
        </w:rPr>
        <w:t>Working Hours: the time was used by traders to sell per day before andduring the Covid-19 in hours.</w:t>
      </w:r>
    </w:p>
    <w:p w:rsidR="00B16235" w:rsidRDefault="00B16235" w:rsidP="00B16235">
      <w:pPr>
        <w:numPr>
          <w:ilvl w:val="0"/>
          <w:numId w:val="4"/>
        </w:numPr>
        <w:jc w:val="both"/>
        <w:rPr>
          <w:rFonts w:eastAsia="Times"/>
          <w:bCs/>
          <w:szCs w:val="24"/>
          <w:lang w:val="en-US"/>
        </w:rPr>
      </w:pPr>
      <w:r w:rsidRPr="00233258">
        <w:rPr>
          <w:rFonts w:eastAsia="Times"/>
          <w:bCs/>
          <w:szCs w:val="24"/>
          <w:lang w:val="en-US"/>
        </w:rPr>
        <w:t>Number of Consumers: people who bought merchandise per day before and during the Covid-19 in units ofpeople</w:t>
      </w:r>
    </w:p>
    <w:p w:rsidR="00295826" w:rsidRDefault="00295826" w:rsidP="00295826">
      <w:pPr>
        <w:jc w:val="both"/>
        <w:rPr>
          <w:rFonts w:eastAsia="Times"/>
          <w:bCs/>
          <w:szCs w:val="24"/>
          <w:lang w:val="en-US"/>
        </w:rPr>
      </w:pPr>
    </w:p>
    <w:p w:rsidR="001F148B" w:rsidRDefault="001F148B"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Default="00295826" w:rsidP="00295826">
      <w:pPr>
        <w:jc w:val="both"/>
        <w:rPr>
          <w:rFonts w:eastAsia="Times"/>
          <w:bCs/>
          <w:szCs w:val="24"/>
          <w:lang w:val="en-US"/>
        </w:rPr>
      </w:pPr>
    </w:p>
    <w:p w:rsidR="00295826" w:rsidRPr="00233258" w:rsidRDefault="00295826" w:rsidP="00295826">
      <w:pPr>
        <w:jc w:val="both"/>
        <w:rPr>
          <w:rFonts w:eastAsia="Times"/>
          <w:bCs/>
          <w:szCs w:val="24"/>
          <w:lang w:val="en-US"/>
        </w:rPr>
      </w:pPr>
    </w:p>
    <w:p w:rsidR="00B16235" w:rsidRDefault="00B16235" w:rsidP="00B16235">
      <w:pPr>
        <w:jc w:val="both"/>
        <w:rPr>
          <w:rFonts w:eastAsia="Times"/>
          <w:b/>
          <w:bCs/>
          <w:szCs w:val="24"/>
          <w:lang w:val="en-US"/>
        </w:rPr>
      </w:pPr>
    </w:p>
    <w:p w:rsidR="001B1E4E" w:rsidRDefault="00923E7E" w:rsidP="00B16235">
      <w:pPr>
        <w:jc w:val="both"/>
        <w:rPr>
          <w:rFonts w:eastAsia="Times"/>
          <w:b/>
          <w:sz w:val="24"/>
          <w:szCs w:val="24"/>
        </w:rPr>
      </w:pPr>
      <w:r>
        <w:rPr>
          <w:rFonts w:eastAsia="Times"/>
          <w:b/>
          <w:sz w:val="24"/>
          <w:szCs w:val="24"/>
        </w:rPr>
        <w:lastRenderedPageBreak/>
        <w:t xml:space="preserve">4. </w:t>
      </w:r>
      <w:r w:rsidR="00A417FC">
        <w:rPr>
          <w:rFonts w:eastAsia="Times"/>
          <w:b/>
          <w:sz w:val="24"/>
          <w:szCs w:val="24"/>
        </w:rPr>
        <w:t>Research Result and Discussion</w:t>
      </w:r>
    </w:p>
    <w:p w:rsidR="001B2B2A" w:rsidRDefault="001B2B2A" w:rsidP="001B2B2A">
      <w:pPr>
        <w:jc w:val="both"/>
        <w:rPr>
          <w:rFonts w:eastAsia="Times"/>
          <w:b/>
          <w:bCs/>
          <w:sz w:val="18"/>
          <w:szCs w:val="24"/>
          <w:lang w:val="en-US"/>
        </w:rPr>
      </w:pPr>
    </w:p>
    <w:p w:rsidR="00233258" w:rsidRDefault="00233258" w:rsidP="00233258">
      <w:pPr>
        <w:ind w:firstLine="284"/>
        <w:jc w:val="both"/>
        <w:rPr>
          <w:rFonts w:eastAsia="Times"/>
          <w:bCs/>
          <w:szCs w:val="24"/>
          <w:lang w:val="en-US"/>
        </w:rPr>
      </w:pPr>
      <w:r w:rsidRPr="00233258">
        <w:rPr>
          <w:rFonts w:eastAsia="Times"/>
          <w:bCs/>
          <w:szCs w:val="24"/>
          <w:lang w:val="en-US"/>
        </w:rPr>
        <w:t>This study used a sample of 51 traders. Descriptions of respondents in this study on Pahawang Island tourism included gender, age, education level, number of dependents and length of trading</w:t>
      </w:r>
    </w:p>
    <w:p w:rsidR="00295826" w:rsidRDefault="00295826" w:rsidP="00233258">
      <w:pPr>
        <w:ind w:firstLine="284"/>
        <w:jc w:val="both"/>
        <w:rPr>
          <w:rFonts w:eastAsia="Times"/>
          <w:bCs/>
          <w:szCs w:val="24"/>
          <w:lang w:val="en-US"/>
        </w:rPr>
      </w:pPr>
    </w:p>
    <w:tbl>
      <w:tblPr>
        <w:tblW w:w="6626" w:type="dxa"/>
        <w:jc w:val="center"/>
        <w:tblLook w:val="04A0"/>
      </w:tblPr>
      <w:tblGrid>
        <w:gridCol w:w="1464"/>
        <w:gridCol w:w="2425"/>
        <w:gridCol w:w="1585"/>
        <w:gridCol w:w="1152"/>
      </w:tblGrid>
      <w:tr w:rsidR="0047638F" w:rsidRPr="0047638F" w:rsidTr="00CE4BB3">
        <w:trPr>
          <w:trHeight w:val="328"/>
          <w:jc w:val="center"/>
        </w:trPr>
        <w:tc>
          <w:tcPr>
            <w:tcW w:w="6626" w:type="dxa"/>
            <w:gridSpan w:val="4"/>
            <w:tcBorders>
              <w:top w:val="nil"/>
              <w:left w:val="nil"/>
              <w:bottom w:val="nil"/>
              <w:right w:val="nil"/>
            </w:tcBorders>
            <w:shd w:val="clear" w:color="auto" w:fill="auto"/>
            <w:noWrap/>
            <w:vAlign w:val="bottom"/>
            <w:hideMark/>
          </w:tcPr>
          <w:p w:rsidR="0047638F" w:rsidRPr="0047638F" w:rsidRDefault="0047638F" w:rsidP="0047638F">
            <w:pPr>
              <w:rPr>
                <w:sz w:val="18"/>
                <w:szCs w:val="18"/>
                <w:lang w:val="en-US" w:eastAsia="en-US"/>
              </w:rPr>
            </w:pPr>
            <w:r w:rsidRPr="0047638F">
              <w:rPr>
                <w:b/>
                <w:bCs/>
                <w:sz w:val="18"/>
                <w:szCs w:val="18"/>
                <w:lang w:val="en-US" w:eastAsia="en-US"/>
              </w:rPr>
              <w:t>Table 1.</w:t>
            </w:r>
            <w:r w:rsidRPr="0047638F">
              <w:rPr>
                <w:sz w:val="18"/>
                <w:szCs w:val="18"/>
                <w:lang w:val="en-US" w:eastAsia="en-US"/>
              </w:rPr>
              <w:t xml:space="preserve"> Characteristics of Respondent Marchants in Pahawang Island Tourism, 2020</w:t>
            </w:r>
          </w:p>
        </w:tc>
      </w:tr>
      <w:tr w:rsidR="0047638F" w:rsidRPr="0047638F" w:rsidTr="00CE4BB3">
        <w:trPr>
          <w:trHeight w:val="313"/>
          <w:jc w:val="center"/>
        </w:trPr>
        <w:tc>
          <w:tcPr>
            <w:tcW w:w="1464"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Variable</w:t>
            </w:r>
          </w:p>
        </w:tc>
        <w:tc>
          <w:tcPr>
            <w:tcW w:w="2425"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Description</w:t>
            </w:r>
          </w:p>
        </w:tc>
        <w:tc>
          <w:tcPr>
            <w:tcW w:w="1585"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Respondents</w:t>
            </w:r>
          </w:p>
        </w:tc>
        <w:tc>
          <w:tcPr>
            <w:tcW w:w="1152"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w:t>
            </w:r>
          </w:p>
        </w:tc>
      </w:tr>
      <w:tr w:rsidR="0047638F" w:rsidRPr="0047638F" w:rsidTr="00CE4BB3">
        <w:trPr>
          <w:trHeight w:val="313"/>
          <w:jc w:val="center"/>
        </w:trPr>
        <w:tc>
          <w:tcPr>
            <w:tcW w:w="1464" w:type="dxa"/>
            <w:vMerge w:val="restart"/>
            <w:tcBorders>
              <w:top w:val="nil"/>
              <w:left w:val="nil"/>
              <w:bottom w:val="nil"/>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Gender</w:t>
            </w: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Man</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38</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75</w:t>
            </w:r>
          </w:p>
        </w:tc>
      </w:tr>
      <w:tr w:rsidR="0047638F" w:rsidRPr="0047638F" w:rsidTr="00CE4BB3">
        <w:trPr>
          <w:trHeight w:val="313"/>
          <w:jc w:val="center"/>
        </w:trPr>
        <w:tc>
          <w:tcPr>
            <w:tcW w:w="1464" w:type="dxa"/>
            <w:vMerge/>
            <w:tcBorders>
              <w:top w:val="nil"/>
              <w:left w:val="nil"/>
              <w:bottom w:val="nil"/>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Women</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13</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25</w:t>
            </w:r>
          </w:p>
        </w:tc>
      </w:tr>
      <w:tr w:rsidR="0047638F" w:rsidRPr="0047638F" w:rsidTr="00CE4BB3">
        <w:trPr>
          <w:trHeight w:val="313"/>
          <w:jc w:val="center"/>
        </w:trPr>
        <w:tc>
          <w:tcPr>
            <w:tcW w:w="1464" w:type="dxa"/>
            <w:tcBorders>
              <w:top w:val="nil"/>
              <w:left w:val="nil"/>
              <w:bottom w:val="single" w:sz="4" w:space="0" w:color="auto"/>
              <w:right w:val="nil"/>
            </w:tcBorders>
            <w:shd w:val="clear" w:color="auto" w:fill="auto"/>
            <w:noWrap/>
            <w:vAlign w:val="bottom"/>
            <w:hideMark/>
          </w:tcPr>
          <w:p w:rsidR="0047638F" w:rsidRPr="0047638F" w:rsidRDefault="0047638F" w:rsidP="0047638F">
            <w:pPr>
              <w:rPr>
                <w:rFonts w:ascii="Calibri" w:hAnsi="Calibri"/>
                <w:sz w:val="22"/>
                <w:szCs w:val="22"/>
                <w:lang w:val="en-US" w:eastAsia="en-US"/>
              </w:rPr>
            </w:pPr>
            <w:r w:rsidRPr="0047638F">
              <w:rPr>
                <w:rFonts w:ascii="Calibri" w:hAnsi="Calibri"/>
                <w:sz w:val="22"/>
                <w:szCs w:val="22"/>
                <w:lang w:val="en-US" w:eastAsia="en-US"/>
              </w:rPr>
              <w:t> </w:t>
            </w:r>
          </w:p>
        </w:tc>
        <w:tc>
          <w:tcPr>
            <w:tcW w:w="2425" w:type="dxa"/>
            <w:tcBorders>
              <w:top w:val="nil"/>
              <w:left w:val="nil"/>
              <w:bottom w:val="single" w:sz="4" w:space="0" w:color="auto"/>
              <w:right w:val="nil"/>
            </w:tcBorders>
            <w:shd w:val="clear" w:color="auto" w:fill="auto"/>
            <w:hideMark/>
          </w:tcPr>
          <w:p w:rsidR="0047638F" w:rsidRPr="0047638F" w:rsidRDefault="0047638F" w:rsidP="0047638F">
            <w:pPr>
              <w:rPr>
                <w:lang w:val="en-US" w:eastAsia="en-US"/>
              </w:rPr>
            </w:pPr>
            <w:r w:rsidRPr="0047638F">
              <w:rPr>
                <w:lang w:val="en-US" w:eastAsia="en-US"/>
              </w:rPr>
              <w:t>Total</w:t>
            </w:r>
          </w:p>
        </w:tc>
        <w:tc>
          <w:tcPr>
            <w:tcW w:w="1585" w:type="dxa"/>
            <w:tcBorders>
              <w:top w:val="nil"/>
              <w:left w:val="nil"/>
              <w:bottom w:val="single" w:sz="4" w:space="0" w:color="auto"/>
              <w:right w:val="nil"/>
            </w:tcBorders>
            <w:shd w:val="clear" w:color="auto" w:fill="auto"/>
            <w:hideMark/>
          </w:tcPr>
          <w:p w:rsidR="0047638F" w:rsidRPr="0047638F" w:rsidRDefault="0047638F" w:rsidP="0047638F">
            <w:pPr>
              <w:jc w:val="center"/>
              <w:rPr>
                <w:lang w:val="en-US" w:eastAsia="en-US"/>
              </w:rPr>
            </w:pPr>
            <w:r w:rsidRPr="0047638F">
              <w:rPr>
                <w:lang w:val="en-US" w:eastAsia="en-US"/>
              </w:rPr>
              <w:t>51</w:t>
            </w:r>
          </w:p>
        </w:tc>
        <w:tc>
          <w:tcPr>
            <w:tcW w:w="1152" w:type="dxa"/>
            <w:tcBorders>
              <w:top w:val="nil"/>
              <w:left w:val="nil"/>
              <w:bottom w:val="single" w:sz="4" w:space="0" w:color="auto"/>
              <w:right w:val="nil"/>
            </w:tcBorders>
            <w:shd w:val="clear" w:color="auto" w:fill="auto"/>
            <w:hideMark/>
          </w:tcPr>
          <w:p w:rsidR="0047638F" w:rsidRPr="0047638F" w:rsidRDefault="0047638F" w:rsidP="0047638F">
            <w:pPr>
              <w:ind w:firstLineChars="200" w:firstLine="400"/>
              <w:rPr>
                <w:lang w:val="en-US" w:eastAsia="en-US"/>
              </w:rPr>
            </w:pPr>
            <w:r w:rsidRPr="0047638F">
              <w:rPr>
                <w:lang w:val="en-US" w:eastAsia="en-US"/>
              </w:rPr>
              <w:t>100</w:t>
            </w:r>
          </w:p>
        </w:tc>
      </w:tr>
      <w:tr w:rsidR="0047638F" w:rsidRPr="0047638F" w:rsidTr="00CE4BB3">
        <w:trPr>
          <w:trHeight w:val="313"/>
          <w:jc w:val="center"/>
        </w:trPr>
        <w:tc>
          <w:tcPr>
            <w:tcW w:w="1464" w:type="dxa"/>
            <w:vMerge w:val="restart"/>
            <w:tcBorders>
              <w:top w:val="nil"/>
              <w:left w:val="nil"/>
              <w:bottom w:val="nil"/>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Age</w:t>
            </w: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17-35</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17</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33</w:t>
            </w:r>
          </w:p>
        </w:tc>
      </w:tr>
      <w:tr w:rsidR="0047638F" w:rsidRPr="0047638F" w:rsidTr="00CE4BB3">
        <w:trPr>
          <w:trHeight w:val="313"/>
          <w:jc w:val="center"/>
        </w:trPr>
        <w:tc>
          <w:tcPr>
            <w:tcW w:w="1464" w:type="dxa"/>
            <w:vMerge/>
            <w:tcBorders>
              <w:top w:val="nil"/>
              <w:left w:val="nil"/>
              <w:bottom w:val="nil"/>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36-70</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34</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67</w:t>
            </w:r>
          </w:p>
        </w:tc>
      </w:tr>
      <w:tr w:rsidR="0047638F" w:rsidRPr="0047638F" w:rsidTr="00CE4BB3">
        <w:trPr>
          <w:trHeight w:val="328"/>
          <w:jc w:val="center"/>
        </w:trPr>
        <w:tc>
          <w:tcPr>
            <w:tcW w:w="1464" w:type="dxa"/>
            <w:tcBorders>
              <w:top w:val="nil"/>
              <w:left w:val="nil"/>
              <w:bottom w:val="nil"/>
              <w:right w:val="nil"/>
            </w:tcBorders>
            <w:shd w:val="clear" w:color="auto" w:fill="auto"/>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Total</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51</w:t>
            </w:r>
          </w:p>
        </w:tc>
        <w:tc>
          <w:tcPr>
            <w:tcW w:w="1152" w:type="dxa"/>
            <w:tcBorders>
              <w:top w:val="nil"/>
              <w:left w:val="nil"/>
              <w:bottom w:val="nil"/>
              <w:right w:val="nil"/>
            </w:tcBorders>
            <w:shd w:val="clear" w:color="auto" w:fill="auto"/>
            <w:hideMark/>
          </w:tcPr>
          <w:p w:rsidR="0047638F" w:rsidRPr="0047638F" w:rsidRDefault="0047638F" w:rsidP="0047638F">
            <w:pPr>
              <w:ind w:firstLineChars="200" w:firstLine="400"/>
              <w:rPr>
                <w:lang w:val="en-US" w:eastAsia="en-US"/>
              </w:rPr>
            </w:pPr>
            <w:r w:rsidRPr="0047638F">
              <w:rPr>
                <w:lang w:val="en-US" w:eastAsia="en-US"/>
              </w:rPr>
              <w:t>100</w:t>
            </w:r>
          </w:p>
        </w:tc>
      </w:tr>
      <w:tr w:rsidR="0047638F" w:rsidRPr="0047638F" w:rsidTr="00CE4BB3">
        <w:trPr>
          <w:trHeight w:val="313"/>
          <w:jc w:val="center"/>
        </w:trPr>
        <w:tc>
          <w:tcPr>
            <w:tcW w:w="1464"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 xml:space="preserve">Variable </w:t>
            </w:r>
          </w:p>
        </w:tc>
        <w:tc>
          <w:tcPr>
            <w:tcW w:w="2425"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 xml:space="preserve">Description </w:t>
            </w:r>
          </w:p>
        </w:tc>
        <w:tc>
          <w:tcPr>
            <w:tcW w:w="1585"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 xml:space="preserve">Respondents </w:t>
            </w:r>
          </w:p>
        </w:tc>
        <w:tc>
          <w:tcPr>
            <w:tcW w:w="1152"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w:t>
            </w:r>
          </w:p>
        </w:tc>
      </w:tr>
      <w:tr w:rsidR="0047638F" w:rsidRPr="0047638F" w:rsidTr="00CE4BB3">
        <w:trPr>
          <w:trHeight w:val="313"/>
          <w:jc w:val="center"/>
        </w:trPr>
        <w:tc>
          <w:tcPr>
            <w:tcW w:w="1464" w:type="dxa"/>
            <w:vMerge w:val="restart"/>
            <w:tcBorders>
              <w:top w:val="nil"/>
              <w:left w:val="nil"/>
              <w:bottom w:val="single" w:sz="4" w:space="0" w:color="000000"/>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Level of Education</w:t>
            </w: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 xml:space="preserve">Elementary school </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24</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47</w:t>
            </w:r>
          </w:p>
        </w:tc>
      </w:tr>
      <w:tr w:rsidR="0047638F" w:rsidRPr="0047638F" w:rsidTr="00CE4BB3">
        <w:trPr>
          <w:trHeight w:val="313"/>
          <w:jc w:val="center"/>
        </w:trPr>
        <w:tc>
          <w:tcPr>
            <w:tcW w:w="1464" w:type="dxa"/>
            <w:vMerge/>
            <w:tcBorders>
              <w:top w:val="nil"/>
              <w:left w:val="nil"/>
              <w:bottom w:val="single" w:sz="4"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r w:rsidRPr="0047638F">
              <w:rPr>
                <w:lang w:val="en-US" w:eastAsia="en-US"/>
              </w:rPr>
              <w:t xml:space="preserve">Junior High School </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19</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37</w:t>
            </w:r>
          </w:p>
        </w:tc>
      </w:tr>
      <w:tr w:rsidR="0047638F" w:rsidRPr="0047638F" w:rsidTr="00CE4BB3">
        <w:trPr>
          <w:trHeight w:val="313"/>
          <w:jc w:val="center"/>
        </w:trPr>
        <w:tc>
          <w:tcPr>
            <w:tcW w:w="1464" w:type="dxa"/>
            <w:vMerge/>
            <w:tcBorders>
              <w:top w:val="nil"/>
              <w:left w:val="nil"/>
              <w:bottom w:val="single" w:sz="4"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single" w:sz="4" w:space="0" w:color="auto"/>
              <w:right w:val="nil"/>
            </w:tcBorders>
            <w:shd w:val="clear" w:color="auto" w:fill="auto"/>
            <w:hideMark/>
          </w:tcPr>
          <w:p w:rsidR="0047638F" w:rsidRPr="0047638F" w:rsidRDefault="0047638F" w:rsidP="0047638F">
            <w:pPr>
              <w:rPr>
                <w:lang w:val="en-US" w:eastAsia="en-US"/>
              </w:rPr>
            </w:pPr>
            <w:r w:rsidRPr="0047638F">
              <w:rPr>
                <w:lang w:val="en-US" w:eastAsia="en-US"/>
              </w:rPr>
              <w:t xml:space="preserve">Senior High School </w:t>
            </w:r>
          </w:p>
        </w:tc>
        <w:tc>
          <w:tcPr>
            <w:tcW w:w="1585" w:type="dxa"/>
            <w:tcBorders>
              <w:top w:val="nil"/>
              <w:left w:val="nil"/>
              <w:bottom w:val="single" w:sz="4" w:space="0" w:color="auto"/>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8</w:t>
            </w:r>
          </w:p>
        </w:tc>
        <w:tc>
          <w:tcPr>
            <w:tcW w:w="1152" w:type="dxa"/>
            <w:tcBorders>
              <w:top w:val="nil"/>
              <w:left w:val="nil"/>
              <w:bottom w:val="single" w:sz="4" w:space="0" w:color="auto"/>
              <w:right w:val="nil"/>
            </w:tcBorders>
            <w:shd w:val="clear" w:color="auto" w:fill="auto"/>
            <w:hideMark/>
          </w:tcPr>
          <w:p w:rsidR="0047638F" w:rsidRPr="0047638F" w:rsidRDefault="0047638F" w:rsidP="0047638F">
            <w:pPr>
              <w:jc w:val="center"/>
              <w:rPr>
                <w:lang w:val="en-US" w:eastAsia="en-US"/>
              </w:rPr>
            </w:pPr>
            <w:r w:rsidRPr="0047638F">
              <w:rPr>
                <w:lang w:val="en-US" w:eastAsia="en-US"/>
              </w:rPr>
              <w:t>16</w:t>
            </w:r>
          </w:p>
        </w:tc>
      </w:tr>
      <w:tr w:rsidR="0047638F" w:rsidRPr="0047638F" w:rsidTr="00CE4BB3">
        <w:trPr>
          <w:trHeight w:val="328"/>
          <w:jc w:val="center"/>
        </w:trPr>
        <w:tc>
          <w:tcPr>
            <w:tcW w:w="1464" w:type="dxa"/>
            <w:tcBorders>
              <w:top w:val="nil"/>
              <w:left w:val="nil"/>
              <w:bottom w:val="single" w:sz="8" w:space="0" w:color="000000"/>
              <w:right w:val="nil"/>
            </w:tcBorders>
            <w:shd w:val="clear" w:color="auto" w:fill="auto"/>
            <w:hideMark/>
          </w:tcPr>
          <w:p w:rsidR="0047638F" w:rsidRPr="0047638F" w:rsidRDefault="0047638F" w:rsidP="0047638F">
            <w:pPr>
              <w:rPr>
                <w:lang w:val="en-US" w:eastAsia="en-US"/>
              </w:rPr>
            </w:pPr>
            <w:r w:rsidRPr="0047638F">
              <w:rPr>
                <w:lang w:val="en-US" w:eastAsia="en-US"/>
              </w:rPr>
              <w:t> </w:t>
            </w:r>
          </w:p>
        </w:tc>
        <w:tc>
          <w:tcPr>
            <w:tcW w:w="2425" w:type="dxa"/>
            <w:tcBorders>
              <w:top w:val="nil"/>
              <w:left w:val="nil"/>
              <w:bottom w:val="single" w:sz="8" w:space="0" w:color="000000"/>
              <w:right w:val="nil"/>
            </w:tcBorders>
            <w:shd w:val="clear" w:color="auto" w:fill="auto"/>
            <w:hideMark/>
          </w:tcPr>
          <w:p w:rsidR="0047638F" w:rsidRPr="0047638F" w:rsidRDefault="0047638F" w:rsidP="0047638F">
            <w:pPr>
              <w:rPr>
                <w:lang w:val="en-US" w:eastAsia="en-US"/>
              </w:rPr>
            </w:pPr>
            <w:r w:rsidRPr="0047638F">
              <w:rPr>
                <w:lang w:val="en-US" w:eastAsia="en-US"/>
              </w:rPr>
              <w:t>Total</w:t>
            </w:r>
          </w:p>
        </w:tc>
        <w:tc>
          <w:tcPr>
            <w:tcW w:w="1585" w:type="dxa"/>
            <w:tcBorders>
              <w:top w:val="nil"/>
              <w:left w:val="nil"/>
              <w:bottom w:val="single" w:sz="8" w:space="0" w:color="000000"/>
              <w:right w:val="nil"/>
            </w:tcBorders>
            <w:shd w:val="clear" w:color="auto" w:fill="auto"/>
            <w:hideMark/>
          </w:tcPr>
          <w:p w:rsidR="0047638F" w:rsidRPr="0047638F" w:rsidRDefault="0047638F" w:rsidP="0047638F">
            <w:pPr>
              <w:jc w:val="center"/>
              <w:rPr>
                <w:lang w:val="en-US" w:eastAsia="en-US"/>
              </w:rPr>
            </w:pPr>
            <w:r w:rsidRPr="0047638F">
              <w:rPr>
                <w:lang w:val="en-US" w:eastAsia="en-US"/>
              </w:rPr>
              <w:t>51</w:t>
            </w:r>
          </w:p>
        </w:tc>
        <w:tc>
          <w:tcPr>
            <w:tcW w:w="1152" w:type="dxa"/>
            <w:tcBorders>
              <w:top w:val="nil"/>
              <w:left w:val="nil"/>
              <w:bottom w:val="single" w:sz="8" w:space="0" w:color="000000"/>
              <w:right w:val="nil"/>
            </w:tcBorders>
            <w:shd w:val="clear" w:color="auto" w:fill="auto"/>
            <w:hideMark/>
          </w:tcPr>
          <w:p w:rsidR="0047638F" w:rsidRPr="0047638F" w:rsidRDefault="0047638F" w:rsidP="0047638F">
            <w:pPr>
              <w:ind w:firstLineChars="200" w:firstLine="400"/>
              <w:rPr>
                <w:lang w:val="en-US" w:eastAsia="en-US"/>
              </w:rPr>
            </w:pPr>
            <w:r w:rsidRPr="0047638F">
              <w:rPr>
                <w:lang w:val="en-US" w:eastAsia="en-US"/>
              </w:rPr>
              <w:t>100</w:t>
            </w:r>
          </w:p>
        </w:tc>
      </w:tr>
      <w:tr w:rsidR="0047638F" w:rsidRPr="0047638F" w:rsidTr="00CE4BB3">
        <w:trPr>
          <w:trHeight w:val="328"/>
          <w:jc w:val="center"/>
        </w:trPr>
        <w:tc>
          <w:tcPr>
            <w:tcW w:w="1464" w:type="dxa"/>
            <w:tcBorders>
              <w:top w:val="nil"/>
              <w:left w:val="nil"/>
              <w:bottom w:val="nil"/>
              <w:right w:val="nil"/>
            </w:tcBorders>
            <w:shd w:val="clear" w:color="auto" w:fill="auto"/>
            <w:hideMark/>
          </w:tcPr>
          <w:p w:rsidR="0047638F" w:rsidRPr="0047638F" w:rsidRDefault="0047638F" w:rsidP="0047638F">
            <w:pPr>
              <w:rPr>
                <w:rFonts w:ascii="Calibri" w:hAnsi="Calibri"/>
                <w:sz w:val="22"/>
                <w:szCs w:val="22"/>
                <w:lang w:val="en-US" w:eastAsia="en-US"/>
              </w:rPr>
            </w:pPr>
          </w:p>
        </w:tc>
        <w:tc>
          <w:tcPr>
            <w:tcW w:w="2425" w:type="dxa"/>
            <w:tcBorders>
              <w:top w:val="nil"/>
              <w:left w:val="nil"/>
              <w:bottom w:val="nil"/>
              <w:right w:val="nil"/>
            </w:tcBorders>
            <w:shd w:val="clear" w:color="auto" w:fill="auto"/>
            <w:hideMark/>
          </w:tcPr>
          <w:p w:rsidR="0047638F" w:rsidRPr="0047638F" w:rsidRDefault="0047638F" w:rsidP="0047638F">
            <w:pPr>
              <w:rPr>
                <w:lang w:val="en-US" w:eastAsia="en-US"/>
              </w:rPr>
            </w:pPr>
          </w:p>
        </w:tc>
        <w:tc>
          <w:tcPr>
            <w:tcW w:w="1585" w:type="dxa"/>
            <w:tcBorders>
              <w:top w:val="nil"/>
              <w:left w:val="nil"/>
              <w:bottom w:val="nil"/>
              <w:right w:val="nil"/>
            </w:tcBorders>
            <w:shd w:val="clear" w:color="auto" w:fill="auto"/>
            <w:hideMark/>
          </w:tcPr>
          <w:p w:rsidR="0047638F" w:rsidRPr="0047638F" w:rsidRDefault="0047638F" w:rsidP="0047638F">
            <w:pPr>
              <w:rPr>
                <w:lang w:val="en-US" w:eastAsia="en-US"/>
              </w:rPr>
            </w:pPr>
          </w:p>
        </w:tc>
        <w:tc>
          <w:tcPr>
            <w:tcW w:w="1152" w:type="dxa"/>
            <w:tcBorders>
              <w:top w:val="nil"/>
              <w:left w:val="nil"/>
              <w:bottom w:val="nil"/>
              <w:right w:val="nil"/>
            </w:tcBorders>
            <w:shd w:val="clear" w:color="auto" w:fill="auto"/>
            <w:hideMark/>
          </w:tcPr>
          <w:p w:rsidR="0047638F" w:rsidRPr="0047638F" w:rsidRDefault="0047638F" w:rsidP="0047638F">
            <w:pPr>
              <w:rPr>
                <w:lang w:val="en-US" w:eastAsia="en-US"/>
              </w:rPr>
            </w:pPr>
          </w:p>
        </w:tc>
      </w:tr>
      <w:tr w:rsidR="0047638F" w:rsidRPr="0047638F" w:rsidTr="00CE4BB3">
        <w:trPr>
          <w:trHeight w:val="313"/>
          <w:jc w:val="center"/>
        </w:trPr>
        <w:tc>
          <w:tcPr>
            <w:tcW w:w="1464"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Variable</w:t>
            </w:r>
          </w:p>
        </w:tc>
        <w:tc>
          <w:tcPr>
            <w:tcW w:w="2425"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Description</w:t>
            </w:r>
          </w:p>
        </w:tc>
        <w:tc>
          <w:tcPr>
            <w:tcW w:w="1585"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Respondents</w:t>
            </w:r>
          </w:p>
        </w:tc>
        <w:tc>
          <w:tcPr>
            <w:tcW w:w="1152" w:type="dxa"/>
            <w:tcBorders>
              <w:top w:val="single" w:sz="8" w:space="0" w:color="000000"/>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w:t>
            </w:r>
          </w:p>
        </w:tc>
      </w:tr>
      <w:tr w:rsidR="0047638F" w:rsidRPr="0047638F" w:rsidTr="00CE4BB3">
        <w:trPr>
          <w:trHeight w:val="313"/>
          <w:jc w:val="center"/>
        </w:trPr>
        <w:tc>
          <w:tcPr>
            <w:tcW w:w="1464" w:type="dxa"/>
            <w:vMerge w:val="restart"/>
            <w:tcBorders>
              <w:top w:val="nil"/>
              <w:left w:val="nil"/>
              <w:bottom w:val="single" w:sz="8" w:space="0" w:color="000000"/>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Burden</w:t>
            </w:r>
          </w:p>
        </w:tc>
        <w:tc>
          <w:tcPr>
            <w:tcW w:w="2425" w:type="dxa"/>
            <w:tcBorders>
              <w:top w:val="nil"/>
              <w:left w:val="nil"/>
              <w:bottom w:val="nil"/>
              <w:right w:val="nil"/>
            </w:tcBorders>
            <w:shd w:val="clear" w:color="auto" w:fill="auto"/>
            <w:hideMark/>
          </w:tcPr>
          <w:p w:rsidR="0047638F" w:rsidRPr="0047638F" w:rsidRDefault="0047638F" w:rsidP="00CE4BB3">
            <w:pPr>
              <w:rPr>
                <w:lang w:val="en-US" w:eastAsia="en-US"/>
              </w:rPr>
            </w:pPr>
            <w:r w:rsidRPr="0047638F">
              <w:rPr>
                <w:w w:val="99"/>
                <w:lang w:val="en-US" w:eastAsia="en-US"/>
              </w:rPr>
              <w:t>1</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1</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2</w:t>
            </w:r>
          </w:p>
        </w:tc>
      </w:tr>
      <w:tr w:rsidR="0047638F" w:rsidRPr="0047638F" w:rsidTr="00CE4BB3">
        <w:trPr>
          <w:trHeight w:val="313"/>
          <w:jc w:val="center"/>
        </w:trPr>
        <w:tc>
          <w:tcPr>
            <w:tcW w:w="1464" w:type="dxa"/>
            <w:vMerge/>
            <w:tcBorders>
              <w:top w:val="nil"/>
              <w:left w:val="nil"/>
              <w:bottom w:val="single" w:sz="8"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CE4BB3">
            <w:pPr>
              <w:rPr>
                <w:lang w:val="en-US" w:eastAsia="en-US"/>
              </w:rPr>
            </w:pPr>
            <w:r w:rsidRPr="0047638F">
              <w:rPr>
                <w:w w:val="99"/>
                <w:lang w:val="en-US" w:eastAsia="en-US"/>
              </w:rPr>
              <w:t>2</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17</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33</w:t>
            </w:r>
          </w:p>
        </w:tc>
      </w:tr>
      <w:tr w:rsidR="0047638F" w:rsidRPr="0047638F" w:rsidTr="00CE4BB3">
        <w:trPr>
          <w:trHeight w:val="313"/>
          <w:jc w:val="center"/>
        </w:trPr>
        <w:tc>
          <w:tcPr>
            <w:tcW w:w="1464" w:type="dxa"/>
            <w:vMerge/>
            <w:tcBorders>
              <w:top w:val="nil"/>
              <w:left w:val="nil"/>
              <w:bottom w:val="single" w:sz="8"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CE4BB3">
            <w:pPr>
              <w:rPr>
                <w:lang w:val="en-US" w:eastAsia="en-US"/>
              </w:rPr>
            </w:pPr>
            <w:r w:rsidRPr="0047638F">
              <w:rPr>
                <w:w w:val="99"/>
                <w:lang w:val="en-US" w:eastAsia="en-US"/>
              </w:rPr>
              <w:t>3</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16</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31</w:t>
            </w:r>
          </w:p>
        </w:tc>
      </w:tr>
      <w:tr w:rsidR="0047638F" w:rsidRPr="0047638F" w:rsidTr="00CE4BB3">
        <w:trPr>
          <w:trHeight w:val="313"/>
          <w:jc w:val="center"/>
        </w:trPr>
        <w:tc>
          <w:tcPr>
            <w:tcW w:w="1464" w:type="dxa"/>
            <w:vMerge/>
            <w:tcBorders>
              <w:top w:val="nil"/>
              <w:left w:val="nil"/>
              <w:bottom w:val="single" w:sz="8"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CE4BB3">
            <w:pPr>
              <w:rPr>
                <w:lang w:val="en-US" w:eastAsia="en-US"/>
              </w:rPr>
            </w:pPr>
            <w:r w:rsidRPr="0047638F">
              <w:rPr>
                <w:w w:val="99"/>
                <w:lang w:val="en-US" w:eastAsia="en-US"/>
              </w:rPr>
              <w:t>4</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12</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24</w:t>
            </w:r>
          </w:p>
        </w:tc>
      </w:tr>
      <w:tr w:rsidR="0047638F" w:rsidRPr="0047638F" w:rsidTr="00CE4BB3">
        <w:trPr>
          <w:trHeight w:val="313"/>
          <w:jc w:val="center"/>
        </w:trPr>
        <w:tc>
          <w:tcPr>
            <w:tcW w:w="1464" w:type="dxa"/>
            <w:vMerge/>
            <w:tcBorders>
              <w:top w:val="nil"/>
              <w:left w:val="nil"/>
              <w:bottom w:val="single" w:sz="8"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CE4BB3">
            <w:pPr>
              <w:rPr>
                <w:lang w:val="en-US" w:eastAsia="en-US"/>
              </w:rPr>
            </w:pPr>
            <w:r w:rsidRPr="0047638F">
              <w:rPr>
                <w:w w:val="99"/>
                <w:lang w:val="en-US" w:eastAsia="en-US"/>
              </w:rPr>
              <w:t>5</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4</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8</w:t>
            </w:r>
          </w:p>
        </w:tc>
      </w:tr>
      <w:tr w:rsidR="0047638F" w:rsidRPr="0047638F" w:rsidTr="00CE4BB3">
        <w:trPr>
          <w:trHeight w:val="313"/>
          <w:jc w:val="center"/>
        </w:trPr>
        <w:tc>
          <w:tcPr>
            <w:tcW w:w="1464" w:type="dxa"/>
            <w:vMerge/>
            <w:tcBorders>
              <w:top w:val="nil"/>
              <w:left w:val="nil"/>
              <w:bottom w:val="single" w:sz="8"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hideMark/>
          </w:tcPr>
          <w:p w:rsidR="0047638F" w:rsidRPr="0047638F" w:rsidRDefault="0047638F" w:rsidP="00CE4BB3">
            <w:pPr>
              <w:rPr>
                <w:lang w:val="en-US" w:eastAsia="en-US"/>
              </w:rPr>
            </w:pPr>
            <w:r w:rsidRPr="0047638F">
              <w:rPr>
                <w:lang w:val="en-US" w:eastAsia="en-US"/>
              </w:rPr>
              <w:t>&gt;5</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1</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w w:val="99"/>
                <w:lang w:val="en-US" w:eastAsia="en-US"/>
              </w:rPr>
              <w:t>2</w:t>
            </w:r>
          </w:p>
        </w:tc>
      </w:tr>
      <w:tr w:rsidR="0047638F" w:rsidRPr="0047638F" w:rsidTr="00CE4BB3">
        <w:trPr>
          <w:trHeight w:val="328"/>
          <w:jc w:val="center"/>
        </w:trPr>
        <w:tc>
          <w:tcPr>
            <w:tcW w:w="1464" w:type="dxa"/>
            <w:vMerge/>
            <w:tcBorders>
              <w:top w:val="nil"/>
              <w:left w:val="nil"/>
              <w:bottom w:val="single" w:sz="8"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single" w:sz="8" w:space="0" w:color="auto"/>
              <w:right w:val="nil"/>
            </w:tcBorders>
            <w:shd w:val="clear" w:color="auto" w:fill="auto"/>
            <w:hideMark/>
          </w:tcPr>
          <w:p w:rsidR="0047638F" w:rsidRPr="0047638F" w:rsidRDefault="0047638F" w:rsidP="0047638F">
            <w:pPr>
              <w:rPr>
                <w:lang w:val="en-US" w:eastAsia="en-US"/>
              </w:rPr>
            </w:pPr>
            <w:r w:rsidRPr="0047638F">
              <w:rPr>
                <w:lang w:val="en-US" w:eastAsia="en-US"/>
              </w:rPr>
              <w:t>Total</w:t>
            </w:r>
          </w:p>
        </w:tc>
        <w:tc>
          <w:tcPr>
            <w:tcW w:w="1585" w:type="dxa"/>
            <w:tcBorders>
              <w:top w:val="nil"/>
              <w:left w:val="nil"/>
              <w:bottom w:val="single" w:sz="8" w:space="0" w:color="auto"/>
              <w:right w:val="nil"/>
            </w:tcBorders>
            <w:shd w:val="clear" w:color="auto" w:fill="auto"/>
            <w:hideMark/>
          </w:tcPr>
          <w:p w:rsidR="0047638F" w:rsidRPr="0047638F" w:rsidRDefault="0047638F" w:rsidP="0047638F">
            <w:pPr>
              <w:jc w:val="center"/>
              <w:rPr>
                <w:lang w:val="en-US" w:eastAsia="en-US"/>
              </w:rPr>
            </w:pPr>
            <w:r w:rsidRPr="0047638F">
              <w:rPr>
                <w:lang w:val="en-US" w:eastAsia="en-US"/>
              </w:rPr>
              <w:t>51</w:t>
            </w:r>
          </w:p>
        </w:tc>
        <w:tc>
          <w:tcPr>
            <w:tcW w:w="1152" w:type="dxa"/>
            <w:tcBorders>
              <w:top w:val="nil"/>
              <w:left w:val="nil"/>
              <w:bottom w:val="single" w:sz="8" w:space="0" w:color="auto"/>
              <w:right w:val="nil"/>
            </w:tcBorders>
            <w:shd w:val="clear" w:color="auto" w:fill="auto"/>
            <w:hideMark/>
          </w:tcPr>
          <w:p w:rsidR="0047638F" w:rsidRPr="0047638F" w:rsidRDefault="0047638F" w:rsidP="0047638F">
            <w:pPr>
              <w:jc w:val="center"/>
              <w:rPr>
                <w:lang w:val="en-US" w:eastAsia="en-US"/>
              </w:rPr>
            </w:pPr>
            <w:r w:rsidRPr="0047638F">
              <w:rPr>
                <w:lang w:val="en-US" w:eastAsia="en-US"/>
              </w:rPr>
              <w:t>100</w:t>
            </w:r>
          </w:p>
        </w:tc>
      </w:tr>
      <w:tr w:rsidR="0047638F" w:rsidRPr="0047638F" w:rsidTr="00CE4BB3">
        <w:trPr>
          <w:trHeight w:val="313"/>
          <w:jc w:val="center"/>
        </w:trPr>
        <w:tc>
          <w:tcPr>
            <w:tcW w:w="1464" w:type="dxa"/>
            <w:tcBorders>
              <w:top w:val="nil"/>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 xml:space="preserve">Variable </w:t>
            </w:r>
          </w:p>
        </w:tc>
        <w:tc>
          <w:tcPr>
            <w:tcW w:w="2425" w:type="dxa"/>
            <w:tcBorders>
              <w:top w:val="nil"/>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 xml:space="preserve">Description </w:t>
            </w:r>
          </w:p>
        </w:tc>
        <w:tc>
          <w:tcPr>
            <w:tcW w:w="1585" w:type="dxa"/>
            <w:tcBorders>
              <w:top w:val="nil"/>
              <w:left w:val="nil"/>
              <w:bottom w:val="single" w:sz="4" w:space="0" w:color="auto"/>
              <w:right w:val="nil"/>
            </w:tcBorders>
            <w:shd w:val="clear" w:color="auto" w:fill="auto"/>
            <w:vAlign w:val="center"/>
            <w:hideMark/>
          </w:tcPr>
          <w:p w:rsidR="0047638F" w:rsidRPr="0047638F" w:rsidRDefault="0047638F" w:rsidP="0047638F">
            <w:pPr>
              <w:rPr>
                <w:lang w:val="en-US" w:eastAsia="en-US"/>
              </w:rPr>
            </w:pPr>
            <w:r w:rsidRPr="0047638F">
              <w:rPr>
                <w:lang w:val="en-US" w:eastAsia="en-US"/>
              </w:rPr>
              <w:t xml:space="preserve">Respondents </w:t>
            </w:r>
          </w:p>
        </w:tc>
        <w:tc>
          <w:tcPr>
            <w:tcW w:w="1152" w:type="dxa"/>
            <w:tcBorders>
              <w:top w:val="nil"/>
              <w:left w:val="nil"/>
              <w:bottom w:val="single" w:sz="4" w:space="0" w:color="auto"/>
              <w:right w:val="nil"/>
            </w:tcBorders>
            <w:shd w:val="clear" w:color="auto" w:fill="auto"/>
            <w:vAlign w:val="center"/>
            <w:hideMark/>
          </w:tcPr>
          <w:p w:rsidR="0047638F" w:rsidRPr="0047638F" w:rsidRDefault="0047638F" w:rsidP="0047638F">
            <w:pPr>
              <w:jc w:val="center"/>
              <w:rPr>
                <w:lang w:val="en-US" w:eastAsia="en-US"/>
              </w:rPr>
            </w:pPr>
            <w:r w:rsidRPr="0047638F">
              <w:rPr>
                <w:lang w:val="en-US" w:eastAsia="en-US"/>
              </w:rPr>
              <w:t>%</w:t>
            </w:r>
          </w:p>
        </w:tc>
      </w:tr>
      <w:tr w:rsidR="0047638F" w:rsidRPr="0047638F" w:rsidTr="00CE4BB3">
        <w:trPr>
          <w:trHeight w:val="313"/>
          <w:jc w:val="center"/>
        </w:trPr>
        <w:tc>
          <w:tcPr>
            <w:tcW w:w="1464" w:type="dxa"/>
            <w:vMerge w:val="restart"/>
            <w:tcBorders>
              <w:top w:val="nil"/>
              <w:left w:val="nil"/>
              <w:bottom w:val="single" w:sz="4" w:space="0" w:color="000000"/>
              <w:right w:val="nil"/>
            </w:tcBorders>
            <w:shd w:val="clear" w:color="auto" w:fill="auto"/>
            <w:vAlign w:val="center"/>
            <w:hideMark/>
          </w:tcPr>
          <w:p w:rsidR="0047638F" w:rsidRPr="0047638F" w:rsidRDefault="0047638F" w:rsidP="00CE4BB3">
            <w:pPr>
              <w:rPr>
                <w:lang w:val="en-US" w:eastAsia="en-US"/>
              </w:rPr>
            </w:pPr>
            <w:r w:rsidRPr="0047638F">
              <w:rPr>
                <w:lang w:val="en-US" w:eastAsia="en-US"/>
              </w:rPr>
              <w:t>The Length of Marchants</w:t>
            </w:r>
          </w:p>
        </w:tc>
        <w:tc>
          <w:tcPr>
            <w:tcW w:w="2425" w:type="dxa"/>
            <w:tcBorders>
              <w:top w:val="nil"/>
              <w:left w:val="nil"/>
              <w:bottom w:val="nil"/>
              <w:right w:val="nil"/>
            </w:tcBorders>
            <w:shd w:val="clear" w:color="auto" w:fill="auto"/>
            <w:vAlign w:val="center"/>
            <w:hideMark/>
          </w:tcPr>
          <w:p w:rsidR="0047638F" w:rsidRPr="0047638F" w:rsidRDefault="0047638F" w:rsidP="00CE4BB3">
            <w:pPr>
              <w:jc w:val="both"/>
              <w:rPr>
                <w:lang w:val="en-US" w:eastAsia="en-US"/>
              </w:rPr>
            </w:pPr>
            <w:r w:rsidRPr="0047638F">
              <w:rPr>
                <w:lang w:val="en-US" w:eastAsia="en-US"/>
              </w:rPr>
              <w:t>1-5 years</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26</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51</w:t>
            </w:r>
          </w:p>
        </w:tc>
      </w:tr>
      <w:tr w:rsidR="0047638F" w:rsidRPr="0047638F" w:rsidTr="00CE4BB3">
        <w:trPr>
          <w:trHeight w:val="313"/>
          <w:jc w:val="center"/>
        </w:trPr>
        <w:tc>
          <w:tcPr>
            <w:tcW w:w="1464" w:type="dxa"/>
            <w:vMerge/>
            <w:tcBorders>
              <w:top w:val="nil"/>
              <w:left w:val="nil"/>
              <w:bottom w:val="single" w:sz="4"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nil"/>
              <w:right w:val="nil"/>
            </w:tcBorders>
            <w:shd w:val="clear" w:color="auto" w:fill="auto"/>
            <w:vAlign w:val="center"/>
            <w:hideMark/>
          </w:tcPr>
          <w:p w:rsidR="0047638F" w:rsidRPr="0047638F" w:rsidRDefault="0047638F" w:rsidP="00CE4BB3">
            <w:pPr>
              <w:jc w:val="both"/>
              <w:rPr>
                <w:lang w:val="en-US" w:eastAsia="en-US"/>
              </w:rPr>
            </w:pPr>
            <w:r w:rsidRPr="0047638F">
              <w:rPr>
                <w:lang w:val="en-US" w:eastAsia="en-US"/>
              </w:rPr>
              <w:t>6-10 years</w:t>
            </w:r>
          </w:p>
        </w:tc>
        <w:tc>
          <w:tcPr>
            <w:tcW w:w="1585"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13</w:t>
            </w:r>
          </w:p>
        </w:tc>
        <w:tc>
          <w:tcPr>
            <w:tcW w:w="1152" w:type="dxa"/>
            <w:tcBorders>
              <w:top w:val="nil"/>
              <w:left w:val="nil"/>
              <w:bottom w:val="nil"/>
              <w:right w:val="nil"/>
            </w:tcBorders>
            <w:shd w:val="clear" w:color="auto" w:fill="auto"/>
            <w:hideMark/>
          </w:tcPr>
          <w:p w:rsidR="0047638F" w:rsidRPr="0047638F" w:rsidRDefault="0047638F" w:rsidP="0047638F">
            <w:pPr>
              <w:jc w:val="center"/>
              <w:rPr>
                <w:lang w:val="en-US" w:eastAsia="en-US"/>
              </w:rPr>
            </w:pPr>
            <w:r w:rsidRPr="0047638F">
              <w:rPr>
                <w:lang w:val="en-US" w:eastAsia="en-US"/>
              </w:rPr>
              <w:t>24</w:t>
            </w:r>
          </w:p>
        </w:tc>
      </w:tr>
      <w:tr w:rsidR="0047638F" w:rsidRPr="0047638F" w:rsidTr="00CE4BB3">
        <w:trPr>
          <w:trHeight w:val="313"/>
          <w:jc w:val="center"/>
        </w:trPr>
        <w:tc>
          <w:tcPr>
            <w:tcW w:w="1464" w:type="dxa"/>
            <w:vMerge/>
            <w:tcBorders>
              <w:top w:val="nil"/>
              <w:left w:val="nil"/>
              <w:bottom w:val="single" w:sz="4" w:space="0" w:color="000000"/>
              <w:right w:val="nil"/>
            </w:tcBorders>
            <w:vAlign w:val="center"/>
            <w:hideMark/>
          </w:tcPr>
          <w:p w:rsidR="0047638F" w:rsidRPr="0047638F" w:rsidRDefault="0047638F" w:rsidP="0047638F">
            <w:pPr>
              <w:rPr>
                <w:lang w:val="en-US" w:eastAsia="en-US"/>
              </w:rPr>
            </w:pPr>
          </w:p>
        </w:tc>
        <w:tc>
          <w:tcPr>
            <w:tcW w:w="2425" w:type="dxa"/>
            <w:tcBorders>
              <w:top w:val="nil"/>
              <w:left w:val="nil"/>
              <w:bottom w:val="single" w:sz="4" w:space="0" w:color="auto"/>
              <w:right w:val="nil"/>
            </w:tcBorders>
            <w:shd w:val="clear" w:color="auto" w:fill="auto"/>
            <w:vAlign w:val="center"/>
            <w:hideMark/>
          </w:tcPr>
          <w:p w:rsidR="0047638F" w:rsidRPr="0047638F" w:rsidRDefault="0047638F" w:rsidP="00CE4BB3">
            <w:pPr>
              <w:jc w:val="both"/>
              <w:rPr>
                <w:lang w:val="en-US" w:eastAsia="en-US"/>
              </w:rPr>
            </w:pPr>
            <w:r w:rsidRPr="0047638F">
              <w:rPr>
                <w:lang w:val="en-US" w:eastAsia="en-US"/>
              </w:rPr>
              <w:t>&gt; 10 years</w:t>
            </w:r>
          </w:p>
        </w:tc>
        <w:tc>
          <w:tcPr>
            <w:tcW w:w="1585" w:type="dxa"/>
            <w:tcBorders>
              <w:top w:val="nil"/>
              <w:left w:val="nil"/>
              <w:bottom w:val="single" w:sz="4" w:space="0" w:color="auto"/>
              <w:right w:val="nil"/>
            </w:tcBorders>
            <w:shd w:val="clear" w:color="auto" w:fill="auto"/>
            <w:hideMark/>
          </w:tcPr>
          <w:p w:rsidR="0047638F" w:rsidRPr="0047638F" w:rsidRDefault="0047638F" w:rsidP="0047638F">
            <w:pPr>
              <w:jc w:val="center"/>
              <w:rPr>
                <w:lang w:val="en-US" w:eastAsia="en-US"/>
              </w:rPr>
            </w:pPr>
            <w:r w:rsidRPr="0047638F">
              <w:rPr>
                <w:lang w:val="en-US" w:eastAsia="en-US"/>
              </w:rPr>
              <w:t>12</w:t>
            </w:r>
          </w:p>
        </w:tc>
        <w:tc>
          <w:tcPr>
            <w:tcW w:w="1152" w:type="dxa"/>
            <w:tcBorders>
              <w:top w:val="nil"/>
              <w:left w:val="nil"/>
              <w:bottom w:val="single" w:sz="4" w:space="0" w:color="auto"/>
              <w:right w:val="nil"/>
            </w:tcBorders>
            <w:shd w:val="clear" w:color="auto" w:fill="auto"/>
            <w:hideMark/>
          </w:tcPr>
          <w:p w:rsidR="0047638F" w:rsidRPr="0047638F" w:rsidRDefault="0047638F" w:rsidP="0047638F">
            <w:pPr>
              <w:jc w:val="center"/>
              <w:rPr>
                <w:lang w:val="en-US" w:eastAsia="en-US"/>
              </w:rPr>
            </w:pPr>
            <w:r w:rsidRPr="0047638F">
              <w:rPr>
                <w:lang w:val="en-US" w:eastAsia="en-US"/>
              </w:rPr>
              <w:t>25</w:t>
            </w:r>
          </w:p>
        </w:tc>
      </w:tr>
      <w:tr w:rsidR="0047638F" w:rsidRPr="0047638F" w:rsidTr="00CE4BB3">
        <w:trPr>
          <w:trHeight w:val="328"/>
          <w:jc w:val="center"/>
        </w:trPr>
        <w:tc>
          <w:tcPr>
            <w:tcW w:w="1464" w:type="dxa"/>
            <w:tcBorders>
              <w:top w:val="nil"/>
              <w:left w:val="nil"/>
              <w:bottom w:val="single" w:sz="8" w:space="0" w:color="000000"/>
              <w:right w:val="nil"/>
            </w:tcBorders>
            <w:shd w:val="clear" w:color="auto" w:fill="auto"/>
            <w:hideMark/>
          </w:tcPr>
          <w:p w:rsidR="0047638F" w:rsidRPr="0047638F" w:rsidRDefault="0047638F" w:rsidP="0047638F">
            <w:pPr>
              <w:rPr>
                <w:lang w:val="en-US" w:eastAsia="en-US"/>
              </w:rPr>
            </w:pPr>
            <w:r w:rsidRPr="0047638F">
              <w:rPr>
                <w:lang w:val="en-US" w:eastAsia="en-US"/>
              </w:rPr>
              <w:t> </w:t>
            </w:r>
          </w:p>
        </w:tc>
        <w:tc>
          <w:tcPr>
            <w:tcW w:w="2425" w:type="dxa"/>
            <w:tcBorders>
              <w:top w:val="nil"/>
              <w:left w:val="nil"/>
              <w:bottom w:val="single" w:sz="8" w:space="0" w:color="000000"/>
              <w:right w:val="nil"/>
            </w:tcBorders>
            <w:shd w:val="clear" w:color="auto" w:fill="auto"/>
            <w:hideMark/>
          </w:tcPr>
          <w:p w:rsidR="0047638F" w:rsidRPr="0047638F" w:rsidRDefault="0047638F" w:rsidP="0047638F">
            <w:pPr>
              <w:rPr>
                <w:lang w:val="en-US" w:eastAsia="en-US"/>
              </w:rPr>
            </w:pPr>
            <w:r w:rsidRPr="0047638F">
              <w:rPr>
                <w:lang w:val="en-US" w:eastAsia="en-US"/>
              </w:rPr>
              <w:t>Total</w:t>
            </w:r>
          </w:p>
        </w:tc>
        <w:tc>
          <w:tcPr>
            <w:tcW w:w="1585" w:type="dxa"/>
            <w:tcBorders>
              <w:top w:val="nil"/>
              <w:left w:val="nil"/>
              <w:bottom w:val="single" w:sz="8" w:space="0" w:color="000000"/>
              <w:right w:val="nil"/>
            </w:tcBorders>
            <w:shd w:val="clear" w:color="auto" w:fill="auto"/>
            <w:hideMark/>
          </w:tcPr>
          <w:p w:rsidR="0047638F" w:rsidRPr="0047638F" w:rsidRDefault="0047638F" w:rsidP="0047638F">
            <w:pPr>
              <w:jc w:val="center"/>
              <w:rPr>
                <w:lang w:val="en-US" w:eastAsia="en-US"/>
              </w:rPr>
            </w:pPr>
            <w:r w:rsidRPr="0047638F">
              <w:rPr>
                <w:lang w:val="en-US" w:eastAsia="en-US"/>
              </w:rPr>
              <w:t>51</w:t>
            </w:r>
          </w:p>
        </w:tc>
        <w:tc>
          <w:tcPr>
            <w:tcW w:w="1152" w:type="dxa"/>
            <w:tcBorders>
              <w:top w:val="nil"/>
              <w:left w:val="nil"/>
              <w:bottom w:val="single" w:sz="8" w:space="0" w:color="000000"/>
              <w:right w:val="nil"/>
            </w:tcBorders>
            <w:shd w:val="clear" w:color="auto" w:fill="auto"/>
            <w:hideMark/>
          </w:tcPr>
          <w:p w:rsidR="0047638F" w:rsidRPr="0047638F" w:rsidRDefault="0047638F" w:rsidP="0047638F">
            <w:pPr>
              <w:jc w:val="center"/>
              <w:rPr>
                <w:lang w:val="en-US" w:eastAsia="en-US"/>
              </w:rPr>
            </w:pPr>
            <w:r w:rsidRPr="0047638F">
              <w:rPr>
                <w:lang w:val="en-US" w:eastAsia="en-US"/>
              </w:rPr>
              <w:t>100</w:t>
            </w:r>
          </w:p>
        </w:tc>
      </w:tr>
    </w:tbl>
    <w:p w:rsidR="00295826" w:rsidRDefault="00295826" w:rsidP="00233258">
      <w:pPr>
        <w:ind w:firstLine="284"/>
        <w:jc w:val="both"/>
        <w:rPr>
          <w:rFonts w:eastAsia="Times"/>
          <w:bCs/>
          <w:szCs w:val="24"/>
          <w:lang w:val="en-US"/>
        </w:rPr>
      </w:pPr>
    </w:p>
    <w:p w:rsidR="00295826" w:rsidRDefault="00295826" w:rsidP="00233258">
      <w:pPr>
        <w:ind w:firstLine="284"/>
        <w:jc w:val="both"/>
        <w:rPr>
          <w:rFonts w:eastAsia="Times"/>
          <w:bCs/>
          <w:szCs w:val="24"/>
          <w:lang w:val="en-US"/>
        </w:rPr>
      </w:pPr>
    </w:p>
    <w:p w:rsidR="00295826" w:rsidRDefault="00295826" w:rsidP="00233258">
      <w:pPr>
        <w:ind w:firstLine="284"/>
        <w:jc w:val="both"/>
        <w:rPr>
          <w:rFonts w:eastAsia="Times"/>
          <w:bCs/>
          <w:szCs w:val="24"/>
          <w:lang w:val="en-US"/>
        </w:rPr>
      </w:pPr>
    </w:p>
    <w:p w:rsidR="00CE4BB3" w:rsidRDefault="00CE4BB3" w:rsidP="00CE4BB3">
      <w:pPr>
        <w:ind w:firstLine="284"/>
        <w:jc w:val="both"/>
        <w:rPr>
          <w:rFonts w:eastAsia="Times"/>
          <w:bCs/>
          <w:szCs w:val="24"/>
          <w:lang w:val="en-US"/>
        </w:rPr>
      </w:pPr>
      <w:r w:rsidRPr="00CE4BB3">
        <w:rPr>
          <w:rFonts w:eastAsia="Times"/>
          <w:bCs/>
          <w:szCs w:val="24"/>
          <w:lang w:val="en-US"/>
        </w:rPr>
        <w:lastRenderedPageBreak/>
        <w:t>Normality test was performed to determine whether the data had a normal distribution or not. The method used to test for normality was using the Kolmogorov-Smirnov test. Here whether the sig value &lt;0.05, so the hypothesis was normally distributed was rejected. The results of the normality test in the study were asfollows:</w:t>
      </w:r>
    </w:p>
    <w:p w:rsidR="00CE4BB3" w:rsidRPr="00CE4BB3" w:rsidRDefault="00CE4BB3" w:rsidP="00CE4BB3">
      <w:pPr>
        <w:ind w:firstLine="284"/>
        <w:jc w:val="both"/>
        <w:rPr>
          <w:rFonts w:eastAsia="Times"/>
          <w:bCs/>
          <w:szCs w:val="24"/>
          <w:lang w:val="en-US"/>
        </w:rPr>
      </w:pPr>
    </w:p>
    <w:p w:rsidR="00CE4BB3" w:rsidRDefault="00CE4BB3" w:rsidP="00CE4BB3">
      <w:pPr>
        <w:jc w:val="both"/>
        <w:rPr>
          <w:rFonts w:eastAsia="Times"/>
          <w:bCs/>
          <w:szCs w:val="24"/>
          <w:lang w:val="en-US"/>
        </w:rPr>
      </w:pPr>
      <w:r w:rsidRPr="00CE4BB3">
        <w:rPr>
          <w:rFonts w:eastAsia="Times"/>
          <w:b/>
          <w:bCs/>
          <w:szCs w:val="24"/>
          <w:lang w:val="en-US"/>
        </w:rPr>
        <w:t>Table 2</w:t>
      </w:r>
      <w:r w:rsidRPr="00CE4BB3">
        <w:rPr>
          <w:rFonts w:eastAsia="Times"/>
          <w:bCs/>
          <w:szCs w:val="24"/>
          <w:lang w:val="en-US"/>
        </w:rPr>
        <w:t>. Normality Test Results</w:t>
      </w:r>
    </w:p>
    <w:tbl>
      <w:tblPr>
        <w:tblW w:w="7652" w:type="dxa"/>
        <w:tblInd w:w="91" w:type="dxa"/>
        <w:tblLook w:val="04A0"/>
      </w:tblPr>
      <w:tblGrid>
        <w:gridCol w:w="953"/>
        <w:gridCol w:w="1343"/>
        <w:gridCol w:w="897"/>
        <w:gridCol w:w="887"/>
        <w:gridCol w:w="894"/>
        <w:gridCol w:w="897"/>
        <w:gridCol w:w="887"/>
        <w:gridCol w:w="894"/>
      </w:tblGrid>
      <w:tr w:rsidR="00CE4BB3" w:rsidRPr="00CE4BB3" w:rsidTr="00CE4BB3">
        <w:trPr>
          <w:trHeight w:val="333"/>
        </w:trPr>
        <w:tc>
          <w:tcPr>
            <w:tcW w:w="7650" w:type="dxa"/>
            <w:gridSpan w:val="8"/>
            <w:tcBorders>
              <w:top w:val="single" w:sz="8" w:space="0" w:color="000000"/>
              <w:left w:val="nil"/>
              <w:bottom w:val="single" w:sz="8" w:space="0" w:color="000000"/>
              <w:right w:val="nil"/>
            </w:tcBorders>
            <w:shd w:val="clear" w:color="auto" w:fill="auto"/>
            <w:hideMark/>
          </w:tcPr>
          <w:p w:rsidR="00CE4BB3" w:rsidRPr="00CE4BB3" w:rsidRDefault="00CE4BB3" w:rsidP="00CE4BB3">
            <w:pPr>
              <w:jc w:val="center"/>
              <w:rPr>
                <w:b/>
                <w:bCs/>
                <w:sz w:val="18"/>
                <w:szCs w:val="18"/>
                <w:lang w:val="en-US" w:eastAsia="en-US"/>
              </w:rPr>
            </w:pPr>
            <w:r w:rsidRPr="00CE4BB3">
              <w:rPr>
                <w:b/>
                <w:bCs/>
                <w:sz w:val="18"/>
                <w:szCs w:val="18"/>
                <w:lang w:val="en-US" w:eastAsia="en-US"/>
              </w:rPr>
              <w:t>Tests ofNormality</w:t>
            </w:r>
          </w:p>
        </w:tc>
      </w:tr>
      <w:tr w:rsidR="00CE4BB3" w:rsidRPr="00CE4BB3" w:rsidTr="00CE4BB3">
        <w:trPr>
          <w:trHeight w:val="333"/>
        </w:trPr>
        <w:tc>
          <w:tcPr>
            <w:tcW w:w="953" w:type="dxa"/>
            <w:vMerge w:val="restart"/>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 </w:t>
            </w:r>
          </w:p>
        </w:tc>
        <w:tc>
          <w:tcPr>
            <w:tcW w:w="1343" w:type="dxa"/>
            <w:vMerge w:val="restart"/>
            <w:tcBorders>
              <w:top w:val="nil"/>
              <w:left w:val="nil"/>
              <w:bottom w:val="single" w:sz="8" w:space="0" w:color="000000"/>
              <w:right w:val="nil"/>
            </w:tcBorders>
            <w:shd w:val="clear" w:color="auto" w:fill="auto"/>
            <w:hideMark/>
          </w:tcPr>
          <w:p w:rsidR="00CE4BB3" w:rsidRPr="00CE4BB3" w:rsidRDefault="00CE4BB3" w:rsidP="00CE4BB3">
            <w:pPr>
              <w:jc w:val="center"/>
              <w:rPr>
                <w:sz w:val="18"/>
                <w:szCs w:val="18"/>
                <w:lang w:val="en-US" w:eastAsia="en-US"/>
              </w:rPr>
            </w:pPr>
            <w:r w:rsidRPr="00CE4BB3">
              <w:rPr>
                <w:sz w:val="18"/>
                <w:szCs w:val="18"/>
                <w:lang w:val="en-US" w:eastAsia="en-US"/>
              </w:rPr>
              <w:t>Nama</w:t>
            </w:r>
          </w:p>
        </w:tc>
        <w:tc>
          <w:tcPr>
            <w:tcW w:w="2678" w:type="dxa"/>
            <w:gridSpan w:val="3"/>
            <w:tcBorders>
              <w:top w:val="single" w:sz="8" w:space="0" w:color="000000"/>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Kolmogorov-Smirnov</w:t>
            </w:r>
            <w:r w:rsidRPr="00CE4BB3">
              <w:rPr>
                <w:sz w:val="18"/>
                <w:szCs w:val="18"/>
                <w:vertAlign w:val="superscript"/>
                <w:lang w:val="en-US" w:eastAsia="en-US"/>
              </w:rPr>
              <w:t>a</w:t>
            </w:r>
          </w:p>
        </w:tc>
        <w:tc>
          <w:tcPr>
            <w:tcW w:w="2678" w:type="dxa"/>
            <w:gridSpan w:val="3"/>
            <w:tcBorders>
              <w:top w:val="single" w:sz="8" w:space="0" w:color="000000"/>
              <w:left w:val="nil"/>
              <w:bottom w:val="single" w:sz="8" w:space="0" w:color="000000"/>
              <w:right w:val="nil"/>
            </w:tcBorders>
            <w:shd w:val="clear" w:color="auto" w:fill="auto"/>
            <w:hideMark/>
          </w:tcPr>
          <w:p w:rsidR="00CE4BB3" w:rsidRPr="00CE4BB3" w:rsidRDefault="00CE4BB3" w:rsidP="00CE4BB3">
            <w:pPr>
              <w:ind w:firstLineChars="400" w:firstLine="720"/>
              <w:rPr>
                <w:sz w:val="18"/>
                <w:szCs w:val="18"/>
                <w:lang w:val="en-US" w:eastAsia="en-US"/>
              </w:rPr>
            </w:pPr>
            <w:r w:rsidRPr="00CE4BB3">
              <w:rPr>
                <w:sz w:val="18"/>
                <w:szCs w:val="18"/>
                <w:lang w:val="en-US" w:eastAsia="en-US"/>
              </w:rPr>
              <w:t>Shapiro-Wilk</w:t>
            </w:r>
          </w:p>
        </w:tc>
      </w:tr>
      <w:tr w:rsidR="00CE4BB3" w:rsidRPr="00CE4BB3" w:rsidTr="00CE4BB3">
        <w:trPr>
          <w:trHeight w:val="333"/>
        </w:trPr>
        <w:tc>
          <w:tcPr>
            <w:tcW w:w="95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134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897" w:type="dxa"/>
            <w:tcBorders>
              <w:top w:val="nil"/>
              <w:left w:val="nil"/>
              <w:bottom w:val="single" w:sz="8" w:space="0" w:color="000000"/>
              <w:right w:val="nil"/>
            </w:tcBorders>
            <w:shd w:val="clear" w:color="auto" w:fill="auto"/>
            <w:hideMark/>
          </w:tcPr>
          <w:p w:rsidR="00CE4BB3" w:rsidRPr="00CE4BB3" w:rsidRDefault="00CE4BB3" w:rsidP="00CE4BB3">
            <w:pPr>
              <w:jc w:val="right"/>
              <w:rPr>
                <w:sz w:val="18"/>
                <w:szCs w:val="18"/>
                <w:lang w:val="en-US" w:eastAsia="en-US"/>
              </w:rPr>
            </w:pPr>
            <w:r w:rsidRPr="00CE4BB3">
              <w:rPr>
                <w:sz w:val="18"/>
                <w:szCs w:val="18"/>
                <w:lang w:val="en-US" w:eastAsia="en-US"/>
              </w:rPr>
              <w:t>Statistic</w:t>
            </w:r>
          </w:p>
        </w:tc>
        <w:tc>
          <w:tcPr>
            <w:tcW w:w="887" w:type="dxa"/>
            <w:tcBorders>
              <w:top w:val="nil"/>
              <w:left w:val="nil"/>
              <w:bottom w:val="single" w:sz="8" w:space="0" w:color="000000"/>
              <w:right w:val="nil"/>
            </w:tcBorders>
            <w:shd w:val="clear" w:color="auto" w:fill="auto"/>
            <w:hideMark/>
          </w:tcPr>
          <w:p w:rsidR="00CE4BB3" w:rsidRPr="00CE4BB3" w:rsidRDefault="00F9414D" w:rsidP="00CE4BB3">
            <w:pPr>
              <w:jc w:val="center"/>
              <w:rPr>
                <w:sz w:val="18"/>
                <w:szCs w:val="18"/>
                <w:lang w:val="en-US" w:eastAsia="en-US"/>
              </w:rPr>
            </w:pPr>
            <w:r w:rsidRPr="00CE4BB3">
              <w:rPr>
                <w:sz w:val="18"/>
                <w:szCs w:val="18"/>
                <w:lang w:val="en-US" w:eastAsia="en-US"/>
              </w:rPr>
              <w:t>D</w:t>
            </w:r>
            <w:r w:rsidR="00CE4BB3" w:rsidRPr="00CE4BB3">
              <w:rPr>
                <w:sz w:val="18"/>
                <w:szCs w:val="18"/>
                <w:lang w:val="en-US" w:eastAsia="en-US"/>
              </w:rPr>
              <w:t>f</w:t>
            </w:r>
          </w:p>
        </w:tc>
        <w:tc>
          <w:tcPr>
            <w:tcW w:w="89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Sig.</w:t>
            </w:r>
          </w:p>
        </w:tc>
        <w:tc>
          <w:tcPr>
            <w:tcW w:w="897" w:type="dxa"/>
            <w:tcBorders>
              <w:top w:val="nil"/>
              <w:left w:val="nil"/>
              <w:bottom w:val="single" w:sz="8" w:space="0" w:color="000000"/>
              <w:right w:val="nil"/>
            </w:tcBorders>
            <w:shd w:val="clear" w:color="auto" w:fill="auto"/>
            <w:hideMark/>
          </w:tcPr>
          <w:p w:rsidR="00CE4BB3" w:rsidRPr="00CE4BB3" w:rsidRDefault="00CE4BB3" w:rsidP="00CE4BB3">
            <w:pPr>
              <w:jc w:val="right"/>
              <w:rPr>
                <w:sz w:val="18"/>
                <w:szCs w:val="18"/>
                <w:lang w:val="en-US" w:eastAsia="en-US"/>
              </w:rPr>
            </w:pPr>
            <w:r w:rsidRPr="00CE4BB3">
              <w:rPr>
                <w:sz w:val="18"/>
                <w:szCs w:val="18"/>
                <w:lang w:val="en-US" w:eastAsia="en-US"/>
              </w:rPr>
              <w:t>Statistic</w:t>
            </w:r>
          </w:p>
        </w:tc>
        <w:tc>
          <w:tcPr>
            <w:tcW w:w="887" w:type="dxa"/>
            <w:tcBorders>
              <w:top w:val="nil"/>
              <w:left w:val="nil"/>
              <w:bottom w:val="single" w:sz="8" w:space="0" w:color="000000"/>
              <w:right w:val="nil"/>
            </w:tcBorders>
            <w:shd w:val="clear" w:color="auto" w:fill="auto"/>
            <w:hideMark/>
          </w:tcPr>
          <w:p w:rsidR="00CE4BB3" w:rsidRPr="00CE4BB3" w:rsidRDefault="00CE4BB3" w:rsidP="00CE4BB3">
            <w:pPr>
              <w:ind w:firstLineChars="100" w:firstLine="180"/>
              <w:rPr>
                <w:sz w:val="18"/>
                <w:szCs w:val="18"/>
                <w:lang w:val="en-US" w:eastAsia="en-US"/>
              </w:rPr>
            </w:pPr>
            <w:r w:rsidRPr="00CE4BB3">
              <w:rPr>
                <w:sz w:val="18"/>
                <w:szCs w:val="18"/>
                <w:lang w:val="en-US" w:eastAsia="en-US"/>
              </w:rPr>
              <w:t>df</w:t>
            </w:r>
          </w:p>
        </w:tc>
        <w:tc>
          <w:tcPr>
            <w:tcW w:w="89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Sig.</w:t>
            </w:r>
          </w:p>
        </w:tc>
      </w:tr>
      <w:tr w:rsidR="00CE4BB3" w:rsidRPr="00CE4BB3" w:rsidTr="00CE4BB3">
        <w:trPr>
          <w:trHeight w:val="387"/>
        </w:trPr>
        <w:tc>
          <w:tcPr>
            <w:tcW w:w="953" w:type="dxa"/>
            <w:vMerge w:val="restart"/>
            <w:tcBorders>
              <w:top w:val="nil"/>
              <w:left w:val="nil"/>
              <w:bottom w:val="single" w:sz="8" w:space="0" w:color="000000"/>
              <w:right w:val="nil"/>
            </w:tcBorders>
            <w:shd w:val="clear" w:color="auto" w:fill="auto"/>
            <w:vAlign w:val="center"/>
            <w:hideMark/>
          </w:tcPr>
          <w:p w:rsidR="00CE4BB3" w:rsidRPr="00CE4BB3" w:rsidRDefault="00CE4BB3" w:rsidP="00CE4BB3">
            <w:pPr>
              <w:jc w:val="center"/>
              <w:rPr>
                <w:sz w:val="18"/>
                <w:szCs w:val="18"/>
                <w:lang w:val="en-US" w:eastAsia="en-US"/>
              </w:rPr>
            </w:pPr>
            <w:r w:rsidRPr="00CE4BB3">
              <w:rPr>
                <w:sz w:val="18"/>
                <w:szCs w:val="18"/>
                <w:lang w:val="en-US" w:eastAsia="en-US"/>
              </w:rPr>
              <w:t>Hasil Penelitian</w:t>
            </w:r>
          </w:p>
        </w:tc>
        <w:tc>
          <w:tcPr>
            <w:tcW w:w="134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Before Covid-19 Income</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0.198</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0.887</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r>
      <w:tr w:rsidR="00CE4BB3" w:rsidRPr="00CE4BB3" w:rsidTr="00CE4BB3">
        <w:trPr>
          <w:trHeight w:val="364"/>
        </w:trPr>
        <w:tc>
          <w:tcPr>
            <w:tcW w:w="95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134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During Covid-19 Income</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0.164</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0.001</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0.895</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r>
      <w:tr w:rsidR="00CE4BB3" w:rsidRPr="00CE4BB3" w:rsidTr="00CE4BB3">
        <w:trPr>
          <w:trHeight w:val="555"/>
        </w:trPr>
        <w:tc>
          <w:tcPr>
            <w:tcW w:w="95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134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Before Covid-19 Working Hours</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0.203</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0.947</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0.023</w:t>
            </w:r>
          </w:p>
        </w:tc>
      </w:tr>
      <w:tr w:rsidR="00CE4BB3" w:rsidRPr="00CE4BB3" w:rsidTr="00CE4BB3">
        <w:trPr>
          <w:trHeight w:val="555"/>
        </w:trPr>
        <w:tc>
          <w:tcPr>
            <w:tcW w:w="95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134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During Covid-19 Working Hours</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0.186</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0.921</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0.002</w:t>
            </w:r>
          </w:p>
        </w:tc>
      </w:tr>
      <w:tr w:rsidR="00CE4BB3" w:rsidRPr="00CE4BB3" w:rsidTr="00CE4BB3">
        <w:trPr>
          <w:trHeight w:val="391"/>
        </w:trPr>
        <w:tc>
          <w:tcPr>
            <w:tcW w:w="95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134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Before Covid-19 Consumers</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0.225</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0.851</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r>
      <w:tr w:rsidR="00CE4BB3" w:rsidRPr="00CE4BB3" w:rsidTr="00CE4BB3">
        <w:trPr>
          <w:trHeight w:val="503"/>
        </w:trPr>
        <w:tc>
          <w:tcPr>
            <w:tcW w:w="953" w:type="dxa"/>
            <w:vMerge/>
            <w:tcBorders>
              <w:top w:val="nil"/>
              <w:left w:val="nil"/>
              <w:bottom w:val="single" w:sz="8" w:space="0" w:color="000000"/>
              <w:right w:val="nil"/>
            </w:tcBorders>
            <w:vAlign w:val="center"/>
            <w:hideMark/>
          </w:tcPr>
          <w:p w:rsidR="00CE4BB3" w:rsidRPr="00CE4BB3" w:rsidRDefault="00CE4BB3" w:rsidP="00CE4BB3">
            <w:pPr>
              <w:rPr>
                <w:sz w:val="18"/>
                <w:szCs w:val="18"/>
                <w:lang w:val="en-US" w:eastAsia="en-US"/>
              </w:rPr>
            </w:pPr>
          </w:p>
        </w:tc>
        <w:tc>
          <w:tcPr>
            <w:tcW w:w="1343" w:type="dxa"/>
            <w:tcBorders>
              <w:top w:val="nil"/>
              <w:left w:val="nil"/>
              <w:bottom w:val="single" w:sz="8" w:space="0" w:color="000000"/>
              <w:right w:val="nil"/>
            </w:tcBorders>
            <w:shd w:val="clear" w:color="auto" w:fill="auto"/>
            <w:hideMark/>
          </w:tcPr>
          <w:p w:rsidR="00CE4BB3" w:rsidRPr="00CE4BB3" w:rsidRDefault="00CE4BB3" w:rsidP="00CE4BB3">
            <w:pPr>
              <w:rPr>
                <w:sz w:val="18"/>
                <w:szCs w:val="18"/>
                <w:lang w:val="en-US" w:eastAsia="en-US"/>
              </w:rPr>
            </w:pPr>
            <w:r w:rsidRPr="00CE4BB3">
              <w:rPr>
                <w:sz w:val="18"/>
                <w:szCs w:val="18"/>
                <w:lang w:val="en-US" w:eastAsia="en-US"/>
              </w:rPr>
              <w:t>During Covid-19 Consumers</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0.201</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0.88</w:t>
            </w:r>
          </w:p>
        </w:tc>
        <w:tc>
          <w:tcPr>
            <w:tcW w:w="887"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rsidR="00CE4BB3" w:rsidRPr="00CE4BB3" w:rsidRDefault="00CE4BB3" w:rsidP="00CE4BB3">
            <w:pPr>
              <w:rPr>
                <w:sz w:val="18"/>
                <w:szCs w:val="18"/>
                <w:lang w:val="en-US" w:eastAsia="en-US"/>
              </w:rPr>
            </w:pPr>
            <w:r w:rsidRPr="00CE4BB3">
              <w:rPr>
                <w:sz w:val="18"/>
                <w:szCs w:val="18"/>
                <w:lang w:val="en-US" w:eastAsia="en-US"/>
              </w:rPr>
              <w:t>0</w:t>
            </w:r>
          </w:p>
        </w:tc>
      </w:tr>
    </w:tbl>
    <w:p w:rsidR="00CE4BB3" w:rsidRPr="00CE4BB3" w:rsidRDefault="00CE4BB3" w:rsidP="00CE4BB3">
      <w:pPr>
        <w:jc w:val="both"/>
        <w:rPr>
          <w:rFonts w:eastAsia="Times"/>
          <w:bCs/>
          <w:szCs w:val="24"/>
          <w:lang w:val="en-US"/>
        </w:rPr>
      </w:pPr>
    </w:p>
    <w:p w:rsidR="00CE4BB3" w:rsidRPr="00CE4BB3" w:rsidRDefault="00CE4BB3" w:rsidP="00CE4BB3">
      <w:pPr>
        <w:ind w:firstLine="284"/>
        <w:jc w:val="both"/>
        <w:rPr>
          <w:rFonts w:eastAsia="Times"/>
          <w:bCs/>
          <w:szCs w:val="24"/>
          <w:lang w:val="en-US"/>
        </w:rPr>
      </w:pPr>
      <w:r w:rsidRPr="00CE4BB3">
        <w:rPr>
          <w:rFonts w:eastAsia="Times"/>
          <w:bCs/>
          <w:szCs w:val="24"/>
          <w:lang w:val="en-US"/>
        </w:rPr>
        <w:t>The results of the normality test above indicated that the data were not normally distributed. This can be seen in the calculated Kolmogorov-Smirnov sig value which was smaller than 0.05 (</w:t>
      </w:r>
      <w:r w:rsidRPr="00CE4BB3">
        <w:rPr>
          <w:rFonts w:ascii="Cambria Math" w:eastAsia="Times" w:hAnsi="Cambria Math" w:cs="Cambria Math"/>
          <w:bCs/>
          <w:szCs w:val="24"/>
          <w:lang w:val="en-US"/>
        </w:rPr>
        <w:t>𝜒</w:t>
      </w:r>
      <w:r w:rsidRPr="00CE4BB3">
        <w:rPr>
          <w:rFonts w:eastAsia="Times"/>
          <w:bCs/>
          <w:szCs w:val="24"/>
          <w:lang w:val="en-US"/>
        </w:rPr>
        <w:t>²-table).</w:t>
      </w:r>
    </w:p>
    <w:p w:rsidR="00CE4BB3" w:rsidRDefault="00CE4BB3" w:rsidP="00CE4BB3">
      <w:pPr>
        <w:ind w:firstLine="284"/>
        <w:jc w:val="both"/>
        <w:rPr>
          <w:rFonts w:eastAsia="Times"/>
          <w:bCs/>
          <w:szCs w:val="24"/>
          <w:lang w:val="en-US"/>
        </w:rPr>
      </w:pPr>
      <w:r w:rsidRPr="00CE4BB3">
        <w:rPr>
          <w:rFonts w:eastAsia="Times"/>
          <w:bCs/>
          <w:szCs w:val="24"/>
          <w:lang w:val="en-US"/>
        </w:rPr>
        <w:t>Furthermore, by using the Wilcoxon signed rank test test, where this test could see the relationship of each variable between before and during the Covid- 19 pandemic. This test was carried out as a test of differentiation because the respondent's data was related to different times before and during the Covid-19 pandemic. Based on the results of the analysis, it could be seen whether  before and during the existence of Covid-19 could make a difference in income, working hours and the number of consumer merchants on Pahawang Islandtours.</w:t>
      </w:r>
    </w:p>
    <w:p w:rsidR="00CE4BB3" w:rsidRDefault="00CE4BB3" w:rsidP="00CE4BB3">
      <w:pPr>
        <w:jc w:val="both"/>
        <w:rPr>
          <w:rFonts w:eastAsia="Times"/>
          <w:bCs/>
          <w:szCs w:val="24"/>
          <w:lang w:val="en-US"/>
        </w:rPr>
      </w:pPr>
    </w:p>
    <w:p w:rsidR="00295826" w:rsidRPr="00CE4BB3" w:rsidRDefault="00CE4BB3" w:rsidP="00CE4BB3">
      <w:pPr>
        <w:jc w:val="center"/>
        <w:rPr>
          <w:rFonts w:eastAsia="Times"/>
          <w:bCs/>
          <w:sz w:val="18"/>
          <w:szCs w:val="18"/>
          <w:lang w:val="en-US"/>
        </w:rPr>
      </w:pPr>
      <w:r w:rsidRPr="00CE4BB3">
        <w:rPr>
          <w:rFonts w:eastAsia="Times"/>
          <w:b/>
          <w:bCs/>
          <w:sz w:val="18"/>
          <w:szCs w:val="18"/>
          <w:lang w:val="en-US"/>
        </w:rPr>
        <w:t>Table 3.</w:t>
      </w:r>
      <w:r w:rsidRPr="00CE4BB3">
        <w:rPr>
          <w:rFonts w:eastAsia="Times"/>
          <w:bCs/>
          <w:sz w:val="18"/>
          <w:szCs w:val="18"/>
          <w:lang w:val="en-US"/>
        </w:rPr>
        <w:t xml:space="preserve"> Wilcoxon Signed Rank </w:t>
      </w:r>
      <w:r>
        <w:rPr>
          <w:rFonts w:eastAsia="Times"/>
          <w:bCs/>
          <w:sz w:val="18"/>
          <w:szCs w:val="18"/>
          <w:lang w:val="en-US"/>
        </w:rPr>
        <w:br/>
      </w:r>
      <w:r w:rsidRPr="00CE4BB3">
        <w:rPr>
          <w:rFonts w:eastAsia="Times"/>
          <w:bCs/>
          <w:sz w:val="18"/>
          <w:szCs w:val="18"/>
          <w:lang w:val="en-US"/>
        </w:rPr>
        <w:t>Test Results of Income Variables Before and During the Covid-19 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6"/>
        <w:gridCol w:w="1677"/>
      </w:tblGrid>
      <w:tr w:rsidR="00CE4BB3" w:rsidRPr="00CE4BB3" w:rsidTr="00CE4BB3">
        <w:trPr>
          <w:trHeight w:val="413"/>
          <w:jc w:val="center"/>
        </w:trPr>
        <w:tc>
          <w:tcPr>
            <w:tcW w:w="1916" w:type="dxa"/>
          </w:tcPr>
          <w:p w:rsidR="00CE4BB3" w:rsidRPr="00CE4BB3" w:rsidRDefault="00CE4BB3" w:rsidP="00CE4BB3">
            <w:pPr>
              <w:ind w:firstLine="284"/>
              <w:jc w:val="both"/>
              <w:rPr>
                <w:rFonts w:eastAsia="Times"/>
                <w:bCs/>
                <w:sz w:val="18"/>
                <w:szCs w:val="18"/>
                <w:lang w:val="en-US"/>
              </w:rPr>
            </w:pPr>
          </w:p>
        </w:tc>
        <w:tc>
          <w:tcPr>
            <w:tcW w:w="1677" w:type="dxa"/>
            <w:vAlign w:val="center"/>
          </w:tcPr>
          <w:p w:rsidR="00CE4BB3" w:rsidRPr="00CE4BB3" w:rsidRDefault="00CE4BB3" w:rsidP="00CE4BB3">
            <w:pPr>
              <w:rPr>
                <w:rFonts w:eastAsia="Times"/>
                <w:bCs/>
                <w:sz w:val="18"/>
                <w:szCs w:val="18"/>
                <w:lang w:val="en-US"/>
              </w:rPr>
            </w:pPr>
            <w:r w:rsidRPr="00CE4BB3">
              <w:rPr>
                <w:rFonts w:eastAsia="Times"/>
                <w:bCs/>
                <w:sz w:val="18"/>
                <w:szCs w:val="18"/>
                <w:lang w:val="en-US"/>
              </w:rPr>
              <w:t>BEFORE-DURING</w:t>
            </w:r>
          </w:p>
        </w:tc>
      </w:tr>
      <w:tr w:rsidR="00CE4BB3" w:rsidRPr="00CE4BB3" w:rsidTr="00CE4BB3">
        <w:trPr>
          <w:trHeight w:val="244"/>
          <w:jc w:val="center"/>
        </w:trPr>
        <w:tc>
          <w:tcPr>
            <w:tcW w:w="1916" w:type="dxa"/>
          </w:tcPr>
          <w:p w:rsidR="00CE4BB3" w:rsidRPr="00CE4BB3" w:rsidRDefault="00CE4BB3" w:rsidP="00CE4BB3">
            <w:pPr>
              <w:ind w:firstLine="284"/>
              <w:jc w:val="both"/>
              <w:rPr>
                <w:rFonts w:eastAsia="Times"/>
                <w:bCs/>
                <w:sz w:val="18"/>
                <w:szCs w:val="18"/>
                <w:lang w:val="en-US"/>
              </w:rPr>
            </w:pPr>
            <w:r w:rsidRPr="00CE4BB3">
              <w:rPr>
                <w:rFonts w:eastAsia="Times"/>
                <w:bCs/>
                <w:sz w:val="18"/>
                <w:szCs w:val="18"/>
                <w:lang w:val="en-US"/>
              </w:rPr>
              <w:t>Z</w:t>
            </w:r>
          </w:p>
        </w:tc>
        <w:tc>
          <w:tcPr>
            <w:tcW w:w="1677" w:type="dxa"/>
          </w:tcPr>
          <w:p w:rsidR="00CE4BB3" w:rsidRPr="00CE4BB3" w:rsidRDefault="00CE4BB3" w:rsidP="00CE4BB3">
            <w:pPr>
              <w:ind w:firstLine="284"/>
              <w:jc w:val="both"/>
              <w:rPr>
                <w:rFonts w:eastAsia="Times"/>
                <w:bCs/>
                <w:sz w:val="18"/>
                <w:szCs w:val="18"/>
                <w:lang w:val="en-US"/>
              </w:rPr>
            </w:pPr>
            <w:r w:rsidRPr="00CE4BB3">
              <w:rPr>
                <w:rFonts w:eastAsia="Times"/>
                <w:bCs/>
                <w:sz w:val="18"/>
                <w:szCs w:val="18"/>
                <w:lang w:val="en-US"/>
              </w:rPr>
              <w:t>-6.032</w:t>
            </w:r>
            <w:r w:rsidRPr="00CE4BB3">
              <w:rPr>
                <w:rFonts w:eastAsia="Times"/>
                <w:bCs/>
                <w:sz w:val="18"/>
                <w:szCs w:val="18"/>
                <w:vertAlign w:val="superscript"/>
                <w:lang w:val="en-US"/>
              </w:rPr>
              <w:t>b</w:t>
            </w:r>
          </w:p>
        </w:tc>
      </w:tr>
      <w:tr w:rsidR="00CE4BB3" w:rsidRPr="00CE4BB3" w:rsidTr="00CE4BB3">
        <w:trPr>
          <w:trHeight w:val="239"/>
          <w:jc w:val="center"/>
        </w:trPr>
        <w:tc>
          <w:tcPr>
            <w:tcW w:w="1916" w:type="dxa"/>
          </w:tcPr>
          <w:p w:rsidR="00CE4BB3" w:rsidRPr="00CE4BB3" w:rsidRDefault="00CE4BB3" w:rsidP="00CE4BB3">
            <w:pPr>
              <w:jc w:val="both"/>
              <w:rPr>
                <w:rFonts w:eastAsia="Times"/>
                <w:bCs/>
                <w:sz w:val="18"/>
                <w:szCs w:val="18"/>
                <w:lang w:val="en-US"/>
              </w:rPr>
            </w:pPr>
            <w:r w:rsidRPr="00CE4BB3">
              <w:rPr>
                <w:rFonts w:eastAsia="Times"/>
                <w:bCs/>
                <w:sz w:val="18"/>
                <w:szCs w:val="18"/>
                <w:lang w:val="en-US"/>
              </w:rPr>
              <w:t>Asymp. Sig. (2-tailed)</w:t>
            </w:r>
          </w:p>
        </w:tc>
        <w:tc>
          <w:tcPr>
            <w:tcW w:w="1677" w:type="dxa"/>
          </w:tcPr>
          <w:p w:rsidR="00CE4BB3" w:rsidRPr="00CE4BB3" w:rsidRDefault="00CE4BB3" w:rsidP="00CE4BB3">
            <w:pPr>
              <w:ind w:firstLine="284"/>
              <w:jc w:val="both"/>
              <w:rPr>
                <w:rFonts w:eastAsia="Times"/>
                <w:bCs/>
                <w:sz w:val="18"/>
                <w:szCs w:val="18"/>
                <w:lang w:val="en-US"/>
              </w:rPr>
            </w:pPr>
            <w:r w:rsidRPr="00CE4BB3">
              <w:rPr>
                <w:rFonts w:eastAsia="Times"/>
                <w:bCs/>
                <w:sz w:val="18"/>
                <w:szCs w:val="18"/>
                <w:lang w:val="en-US"/>
              </w:rPr>
              <w:t>.000</w:t>
            </w:r>
          </w:p>
        </w:tc>
      </w:tr>
    </w:tbl>
    <w:p w:rsidR="00295826" w:rsidRDefault="00295826" w:rsidP="00233258">
      <w:pPr>
        <w:ind w:firstLine="284"/>
        <w:jc w:val="both"/>
        <w:rPr>
          <w:rFonts w:eastAsia="Times"/>
          <w:bCs/>
          <w:szCs w:val="24"/>
          <w:lang w:val="en-US"/>
        </w:rPr>
      </w:pPr>
    </w:p>
    <w:p w:rsidR="00CE4BB3" w:rsidRPr="00CE4BB3" w:rsidRDefault="00CE4BB3" w:rsidP="00CE4BB3">
      <w:pPr>
        <w:ind w:firstLine="284"/>
        <w:jc w:val="both"/>
        <w:rPr>
          <w:rFonts w:eastAsia="Times"/>
          <w:bCs/>
          <w:szCs w:val="24"/>
          <w:lang w:val="en-US"/>
        </w:rPr>
      </w:pPr>
      <w:r w:rsidRPr="00CE4BB3">
        <w:rPr>
          <w:rFonts w:eastAsia="Times"/>
          <w:bCs/>
          <w:szCs w:val="24"/>
          <w:lang w:val="en-US"/>
        </w:rPr>
        <w:t>Based on the results of the Wilcoxon different test in table 3, there was a significant difference in income before and during the coronavirus (Covid-19) in Pahawang Island tourism at a 95% confidence level. It indicated the asymp.sig (2- tailed) value, which was 0.000 less than 0.05.</w:t>
      </w:r>
    </w:p>
    <w:p w:rsidR="00295826" w:rsidRDefault="00295826" w:rsidP="00233258">
      <w:pPr>
        <w:ind w:firstLine="284"/>
        <w:jc w:val="both"/>
        <w:rPr>
          <w:rFonts w:eastAsia="Times"/>
          <w:bCs/>
          <w:szCs w:val="24"/>
          <w:lang w:val="en-US"/>
        </w:rPr>
      </w:pPr>
    </w:p>
    <w:p w:rsidR="00295826" w:rsidRDefault="00295826" w:rsidP="00233258">
      <w:pPr>
        <w:ind w:firstLine="284"/>
        <w:jc w:val="both"/>
        <w:rPr>
          <w:rFonts w:eastAsia="Times"/>
          <w:bCs/>
          <w:szCs w:val="24"/>
          <w:lang w:val="en-US"/>
        </w:rPr>
      </w:pPr>
    </w:p>
    <w:p w:rsidR="00920E32" w:rsidRPr="00920E32" w:rsidRDefault="00920E32" w:rsidP="00920E32">
      <w:pPr>
        <w:ind w:firstLine="284"/>
        <w:jc w:val="both"/>
        <w:rPr>
          <w:rFonts w:eastAsia="Times"/>
          <w:bCs/>
          <w:szCs w:val="24"/>
          <w:lang w:val="en-US"/>
        </w:rPr>
      </w:pPr>
      <w:r w:rsidRPr="00920E32">
        <w:rPr>
          <w:rFonts w:eastAsia="Times"/>
          <w:bCs/>
          <w:szCs w:val="24"/>
          <w:lang w:val="en-US"/>
        </w:rPr>
        <w:lastRenderedPageBreak/>
        <w:t>The difference between the income level and the highest income before the Covid-19 was Rp. 3000,000/day and the lowest income was Rp. 30,000/day. Meanwhile, the highest income of traders during the Covid-19 was IDR 1,200,000/day and the lowest was IDR 20,000/day.</w:t>
      </w:r>
    </w:p>
    <w:p w:rsidR="00920E32" w:rsidRPr="00920E32" w:rsidRDefault="00920E32" w:rsidP="00920E32">
      <w:pPr>
        <w:ind w:firstLine="284"/>
        <w:jc w:val="both"/>
        <w:rPr>
          <w:rFonts w:eastAsia="Times"/>
          <w:bCs/>
          <w:szCs w:val="24"/>
          <w:lang w:val="en-US"/>
        </w:rPr>
      </w:pPr>
      <w:r w:rsidRPr="00920E32">
        <w:rPr>
          <w:rFonts w:eastAsia="Times"/>
          <w:bCs/>
          <w:szCs w:val="24"/>
          <w:lang w:val="en-US"/>
        </w:rPr>
        <w:t xml:space="preserve">Based on the theory that income continued to increase as one of the factors measuring the level and welfare of people's lives </w:t>
      </w:r>
      <w:r w:rsidR="00213F06">
        <w:rPr>
          <w:rFonts w:eastAsia="Times"/>
          <w:bCs/>
          <w:szCs w:val="24"/>
          <w:lang w:val="en-US"/>
        </w:rPr>
        <w:fldChar w:fldCharType="begin" w:fldLock="1"/>
      </w:r>
      <w:r w:rsidR="00EE30CA">
        <w:rPr>
          <w:rFonts w:eastAsia="Times"/>
          <w:bCs/>
          <w:szCs w:val="24"/>
          <w:lang w:val="en-US"/>
        </w:rPr>
        <w:instrText>ADDIN CSL_CITATION {"citationItems":[{"id":"ITEM-1","itemData":{"ISBN":"9783319280998","ISSN":"01933973","PMID":"19791887","abstract":"Teori Dan Aplikasi Kesehatan Kerja L. Meily, Kurniawidjaja","author":[{"dropping-particle":"","family":"Sukirno","given":"Sadono","non-dropping-particle":"","parse-names":false,"suffix":""}],"container-title":"Rajawali Pers","id":"ITEM-1","issue":"1","issued":{"date-parts":[["2005"]]},"number-of-pages":"27-39","title":"Mikroekonomi Teori Pengantar","type":"book","volume":"3"},"uris":["http://www.mendeley.com/documents/?uuid=2f9a71bc-2bfb-4081-9bcc-9a1152a53aa7"]}],"mendeley":{"formattedCitation":"(Sukirno, 2005)","plainTextFormattedCitation":"(Sukirno, 2005)","previouslyFormattedCitation":"(Sukirno, 2005)"},"properties":{"noteIndex":0},"schema":"https://github.com/citation-style-language/schema/raw/master/csl-citation.json"}</w:instrText>
      </w:r>
      <w:r w:rsidR="00213F06">
        <w:rPr>
          <w:rFonts w:eastAsia="Times"/>
          <w:bCs/>
          <w:szCs w:val="24"/>
          <w:lang w:val="en-US"/>
        </w:rPr>
        <w:fldChar w:fldCharType="separate"/>
      </w:r>
      <w:r w:rsidR="00EE30CA" w:rsidRPr="00EE30CA">
        <w:rPr>
          <w:rFonts w:eastAsia="Times"/>
          <w:bCs/>
          <w:noProof/>
          <w:szCs w:val="24"/>
          <w:lang w:val="en-US"/>
        </w:rPr>
        <w:t>(Sukirno, 2005)</w:t>
      </w:r>
      <w:r w:rsidR="00213F06">
        <w:rPr>
          <w:rFonts w:eastAsia="Times"/>
          <w:bCs/>
          <w:szCs w:val="24"/>
          <w:lang w:val="en-US"/>
        </w:rPr>
        <w:fldChar w:fldCharType="end"/>
      </w:r>
      <w:r w:rsidR="00EE30CA">
        <w:rPr>
          <w:rFonts w:eastAsia="Times"/>
          <w:bCs/>
          <w:szCs w:val="24"/>
          <w:lang w:val="en-US"/>
        </w:rPr>
        <w:t>.</w:t>
      </w:r>
      <w:r w:rsidRPr="00920E32">
        <w:rPr>
          <w:rFonts w:eastAsia="Times"/>
          <w:bCs/>
          <w:szCs w:val="24"/>
          <w:lang w:val="en-US"/>
        </w:rPr>
        <w:t xml:space="preserve"> However, this was not in line with the research results, that in Pahawang Island tourism income decreased. It was caused by the restrictionsp of the activities, many visitors only stayed for a short time (one day) so that the their tour activities Pahawang Island did not spend for a long time. Of course, it took place because visitors afraid of the spread of pandemic out ofcircumtance.</w:t>
      </w:r>
    </w:p>
    <w:p w:rsidR="00920E32" w:rsidRPr="00920E32" w:rsidRDefault="00920E32" w:rsidP="00920E32">
      <w:pPr>
        <w:ind w:firstLine="284"/>
        <w:jc w:val="both"/>
        <w:rPr>
          <w:rFonts w:eastAsia="Times"/>
          <w:bCs/>
          <w:szCs w:val="24"/>
          <w:lang w:val="en-US"/>
        </w:rPr>
      </w:pPr>
      <w:r w:rsidRPr="00920E32">
        <w:rPr>
          <w:rFonts w:eastAsia="Times"/>
          <w:bCs/>
          <w:szCs w:val="24"/>
          <w:lang w:val="en-US"/>
        </w:rPr>
        <w:t xml:space="preserve">It was accordance with the research of </w:t>
      </w:r>
      <w:r w:rsidR="00213F06">
        <w:rPr>
          <w:rFonts w:eastAsia="Times"/>
          <w:bCs/>
          <w:szCs w:val="24"/>
          <w:lang w:val="en-US"/>
        </w:rPr>
        <w:fldChar w:fldCharType="begin" w:fldLock="1"/>
      </w:r>
      <w:r w:rsidR="00EE30CA">
        <w:rPr>
          <w:rFonts w:eastAsia="Times"/>
          <w:bCs/>
          <w:szCs w:val="24"/>
          <w:lang w:val="en-US"/>
        </w:rPr>
        <w:instrText>ADDIN CSL_CITATION {"citationItems":[{"id":"ITEM-1","itemData":{"DOI":"10.1016/j.worlddev.2020.105280","ISSN":"18735991","abstract":"This research assesses how low-income households in rural Kenya coped with the immediate economic consequences of the COVID-19 pandemic. It uses granular financial data from weekly household interviews covering six weeks before the first case was detected in Kenya to five weeks after during which various containment measures were implemented. Based on household-level fixed-effects regressions, our results suggest that income from work decreased with almost one-third and income from gifts and remittances reduced by more than one-third after the start of the pandemic. Nevertheless, household expenditures on food remained at pre-COVID levels. We do not find evidence that households coped with reduced income through increased borrowing, selling assets or withdrawing savings. Instead, they gave out less gifts and remittances themselves, lent less money to others and postponed loan repayments. Moreover, they significantly reduced expenditures on schooling and transportation, in line with the school closures and travel restrictions. Thus, despite their affected livelihoods, households managed to keep food expenditures at par, but this came at the cost of reduced informal risk-sharing and social support between households.","author":[{"dropping-particle":"","family":"Janssens","given":"Wendy","non-dropping-particle":"","parse-names":false,"suffix":""},{"dropping-particle":"","family":"Pradhan","given":"Menno","non-dropping-particle":"","parse-names":false,"suffix":""},{"dropping-particle":"","family":"Groot","given":"Richard","non-dropping-particle":"de","parse-names":false,"suffix":""},{"dropping-particle":"","family":"Sidze","given":"Estelle","non-dropping-particle":"","parse-names":false,"suffix":""},{"dropping-particle":"","family":"Donfouet","given":"Hermann Pythagore Pierre","non-dropping-particle":"","parse-names":false,"suffix":""},{"dropping-particle":"","family":"Abajobir","given":"Amanuel","non-dropping-particle":"","parse-names":false,"suffix":""}],"container-title":"World Development","id":"ITEM-1","issued":{"date-parts":[["2021"]]},"page":"105280","publisher":"The Authors","title":"The short-term economic effects of COVID-19 on low-income households in rural Kenya: An analysis using weekly financial household data","type":"article-journal","volume":"138"},"uris":["http://www.mendeley.com/documents/?uuid=37b90df3-924c-44b3-9f20-9906b05b757e"]}],"mendeley":{"formattedCitation":"(Janssens et al., 2021)","plainTextFormattedCitation":"(Janssens et al., 2021)","previouslyFormattedCitation":"(Janssens et al., 2021)"},"properties":{"noteIndex":0},"schema":"https://github.com/citation-style-language/schema/raw/master/csl-citation.json"}</w:instrText>
      </w:r>
      <w:r w:rsidR="00213F06">
        <w:rPr>
          <w:rFonts w:eastAsia="Times"/>
          <w:bCs/>
          <w:szCs w:val="24"/>
          <w:lang w:val="en-US"/>
        </w:rPr>
        <w:fldChar w:fldCharType="separate"/>
      </w:r>
      <w:r w:rsidR="00EE30CA" w:rsidRPr="00EE30CA">
        <w:rPr>
          <w:rFonts w:eastAsia="Times"/>
          <w:bCs/>
          <w:noProof/>
          <w:szCs w:val="24"/>
          <w:lang w:val="en-US"/>
        </w:rPr>
        <w:t>(Janssens et al., 2021)</w:t>
      </w:r>
      <w:r w:rsidR="00213F06">
        <w:rPr>
          <w:rFonts w:eastAsia="Times"/>
          <w:bCs/>
          <w:szCs w:val="24"/>
          <w:lang w:val="en-US"/>
        </w:rPr>
        <w:fldChar w:fldCharType="end"/>
      </w:r>
      <w:r w:rsidR="00EE30CA">
        <w:rPr>
          <w:rFonts w:eastAsia="Times"/>
          <w:bCs/>
          <w:szCs w:val="24"/>
          <w:lang w:val="en-US"/>
        </w:rPr>
        <w:t>,</w:t>
      </w:r>
      <w:r w:rsidRPr="00920E32">
        <w:rPr>
          <w:rFonts w:eastAsia="Times"/>
          <w:bCs/>
          <w:szCs w:val="24"/>
          <w:lang w:val="en-US"/>
        </w:rPr>
        <w:t xml:space="preserve"> that the household-level fixed effects regression, the results showed that the income from work decreased almost one-third and income from gifts and remittances was reduced more than one-third after the beginning of the pandemic.</w:t>
      </w:r>
    </w:p>
    <w:p w:rsidR="00295826" w:rsidRPr="00920E32" w:rsidRDefault="00295826" w:rsidP="00233258">
      <w:pPr>
        <w:ind w:firstLine="284"/>
        <w:jc w:val="both"/>
        <w:rPr>
          <w:rFonts w:eastAsia="Times"/>
          <w:bCs/>
          <w:sz w:val="18"/>
          <w:szCs w:val="24"/>
          <w:lang w:val="en-US"/>
        </w:rPr>
      </w:pPr>
    </w:p>
    <w:p w:rsidR="00920E32" w:rsidRDefault="00920E32" w:rsidP="00920E32">
      <w:pPr>
        <w:ind w:firstLine="284"/>
        <w:jc w:val="center"/>
        <w:rPr>
          <w:rFonts w:eastAsia="Times"/>
          <w:bCs/>
          <w:sz w:val="18"/>
          <w:szCs w:val="24"/>
          <w:lang w:val="en-US"/>
        </w:rPr>
      </w:pPr>
      <w:r w:rsidRPr="00920E32">
        <w:rPr>
          <w:rFonts w:eastAsia="Times"/>
          <w:b/>
          <w:bCs/>
          <w:sz w:val="18"/>
          <w:szCs w:val="24"/>
          <w:lang w:val="en-US"/>
        </w:rPr>
        <w:t>Tabel 4</w:t>
      </w:r>
      <w:r w:rsidRPr="00920E32">
        <w:rPr>
          <w:rFonts w:eastAsia="Times"/>
          <w:bCs/>
          <w:sz w:val="18"/>
          <w:szCs w:val="24"/>
          <w:lang w:val="en-US"/>
        </w:rPr>
        <w:t>. Wilcoxon Signed Rank Test</w:t>
      </w:r>
    </w:p>
    <w:p w:rsidR="00920E32" w:rsidRPr="00920E32" w:rsidRDefault="00920E32" w:rsidP="00920E32">
      <w:pPr>
        <w:ind w:firstLine="284"/>
        <w:jc w:val="center"/>
        <w:rPr>
          <w:rFonts w:eastAsia="Times"/>
          <w:bCs/>
          <w:sz w:val="18"/>
          <w:szCs w:val="24"/>
          <w:lang w:val="en-US"/>
        </w:rPr>
      </w:pPr>
      <w:r w:rsidRPr="00920E32">
        <w:rPr>
          <w:rFonts w:eastAsia="Times"/>
          <w:bCs/>
          <w:sz w:val="18"/>
          <w:szCs w:val="24"/>
          <w:lang w:val="en-US"/>
        </w:rPr>
        <w:t>Variable Results of Working Hours Before and During the Covid-19 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681"/>
      </w:tblGrid>
      <w:tr w:rsidR="00920E32" w:rsidRPr="00920E32" w:rsidTr="00920E32">
        <w:trPr>
          <w:trHeight w:val="412"/>
          <w:jc w:val="center"/>
        </w:trPr>
        <w:tc>
          <w:tcPr>
            <w:tcW w:w="1925" w:type="dxa"/>
          </w:tcPr>
          <w:p w:rsidR="00920E32" w:rsidRPr="00920E32" w:rsidRDefault="00920E32" w:rsidP="00920E32">
            <w:pPr>
              <w:ind w:firstLine="284"/>
              <w:jc w:val="both"/>
              <w:rPr>
                <w:rFonts w:eastAsia="Times"/>
                <w:bCs/>
                <w:sz w:val="18"/>
                <w:szCs w:val="24"/>
                <w:lang w:val="en-US"/>
              </w:rPr>
            </w:pPr>
          </w:p>
        </w:tc>
        <w:tc>
          <w:tcPr>
            <w:tcW w:w="1681" w:type="dxa"/>
            <w:vAlign w:val="center"/>
          </w:tcPr>
          <w:p w:rsidR="00920E32" w:rsidRPr="00920E32" w:rsidRDefault="00920E32" w:rsidP="00920E32">
            <w:pPr>
              <w:rPr>
                <w:rFonts w:eastAsia="Times"/>
                <w:bCs/>
                <w:sz w:val="18"/>
                <w:szCs w:val="24"/>
                <w:lang w:val="en-US"/>
              </w:rPr>
            </w:pPr>
            <w:r w:rsidRPr="00920E32">
              <w:rPr>
                <w:rFonts w:eastAsia="Times"/>
                <w:bCs/>
                <w:sz w:val="18"/>
                <w:szCs w:val="24"/>
                <w:lang w:val="en-US"/>
              </w:rPr>
              <w:t>BEFORE-DURING</w:t>
            </w:r>
          </w:p>
        </w:tc>
      </w:tr>
      <w:tr w:rsidR="00920E32" w:rsidRPr="00920E32" w:rsidTr="00920E32">
        <w:trPr>
          <w:trHeight w:val="262"/>
          <w:jc w:val="center"/>
        </w:trPr>
        <w:tc>
          <w:tcPr>
            <w:tcW w:w="1925" w:type="dxa"/>
            <w:tcBorders>
              <w:bottom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Z</w:t>
            </w:r>
          </w:p>
        </w:tc>
        <w:tc>
          <w:tcPr>
            <w:tcW w:w="1681" w:type="dxa"/>
            <w:tcBorders>
              <w:bottom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-4.133</w:t>
            </w:r>
            <w:r w:rsidRPr="00920E32">
              <w:rPr>
                <w:rFonts w:eastAsia="Times"/>
                <w:bCs/>
                <w:sz w:val="18"/>
                <w:szCs w:val="24"/>
                <w:vertAlign w:val="superscript"/>
                <w:lang w:val="en-US"/>
              </w:rPr>
              <w:t>b</w:t>
            </w:r>
          </w:p>
        </w:tc>
      </w:tr>
      <w:tr w:rsidR="00920E32" w:rsidRPr="00920E32" w:rsidTr="00920E32">
        <w:trPr>
          <w:trHeight w:val="226"/>
          <w:jc w:val="center"/>
        </w:trPr>
        <w:tc>
          <w:tcPr>
            <w:tcW w:w="1925" w:type="dxa"/>
            <w:tcBorders>
              <w:top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Asymp. Sig. (2-tailed)</w:t>
            </w:r>
          </w:p>
        </w:tc>
        <w:tc>
          <w:tcPr>
            <w:tcW w:w="1681" w:type="dxa"/>
            <w:tcBorders>
              <w:top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.000</w:t>
            </w:r>
          </w:p>
        </w:tc>
      </w:tr>
    </w:tbl>
    <w:p w:rsidR="00920E32" w:rsidRPr="00920E32" w:rsidRDefault="00920E32" w:rsidP="00920E32">
      <w:pPr>
        <w:ind w:firstLine="284"/>
        <w:jc w:val="both"/>
        <w:rPr>
          <w:rFonts w:eastAsia="Times"/>
          <w:bCs/>
          <w:szCs w:val="24"/>
          <w:lang w:val="en-US"/>
        </w:rPr>
      </w:pPr>
      <w:r w:rsidRPr="00920E32">
        <w:rPr>
          <w:rFonts w:eastAsia="Times"/>
          <w:bCs/>
          <w:szCs w:val="24"/>
          <w:lang w:val="en-US"/>
        </w:rPr>
        <w:t>Based on the results of the Wilcoxon different test in table 4, there was a significant difference in working hours before and during the coronavirus(Covid-19) on Pahawang Island tours at a 95% confidence level. It indicated that the asymp.sig (2-tailed) value, which was 0.000 less than 0.05.</w:t>
      </w:r>
    </w:p>
    <w:p w:rsidR="00295826" w:rsidRDefault="00920E32" w:rsidP="00920E32">
      <w:pPr>
        <w:ind w:firstLine="284"/>
        <w:jc w:val="both"/>
        <w:rPr>
          <w:rFonts w:eastAsia="Times"/>
          <w:bCs/>
          <w:szCs w:val="24"/>
          <w:lang w:val="en-US"/>
        </w:rPr>
      </w:pPr>
      <w:r w:rsidRPr="00920E32">
        <w:rPr>
          <w:rFonts w:eastAsia="Times"/>
          <w:bCs/>
          <w:szCs w:val="24"/>
          <w:lang w:val="en-US"/>
        </w:rPr>
        <w:t>The most duration of working hour of traders in Pahawang Island before the pandemi Covid19 was 18 hours, and the shortest one was 9 hours. As long as the pandemi Covid19 was happened, the most duration of working hours of traders in Pahawang Island tours before was 19 hours but the shortest 3 hours. There was different duration of working hour of traders in PahawangIslandbefore and during the pandemi Covid19 was 18 hours, and the shortest was 3 hours</w:t>
      </w:r>
      <w:r>
        <w:rPr>
          <w:rFonts w:eastAsia="Times"/>
          <w:bCs/>
          <w:szCs w:val="24"/>
          <w:lang w:val="en-US"/>
        </w:rPr>
        <w:t xml:space="preserve">. </w:t>
      </w:r>
      <w:r w:rsidRPr="00920E32">
        <w:rPr>
          <w:rFonts w:eastAsia="Times"/>
          <w:bCs/>
          <w:szCs w:val="24"/>
          <w:lang w:val="en-US"/>
        </w:rPr>
        <w:t>Moreover, there were 29 samples had no different duration of their working hours. They did their businesses at or near their homes, so they spent their time to sell their goods that the touristsneeded.Based on the human capital theory</w:t>
      </w:r>
      <w:r w:rsidR="00213F06">
        <w:rPr>
          <w:rFonts w:eastAsia="Times"/>
          <w:bCs/>
          <w:szCs w:val="24"/>
          <w:lang w:val="en-US"/>
        </w:rPr>
        <w:fldChar w:fldCharType="begin" w:fldLock="1"/>
      </w:r>
      <w:r w:rsidR="00EE30CA">
        <w:rPr>
          <w:rFonts w:eastAsia="Times"/>
          <w:bCs/>
          <w:szCs w:val="24"/>
          <w:lang w:val="en-US"/>
        </w:rPr>
        <w:instrText>ADDIN CSL_CITATION {"citationItems":[{"id":"ITEM-1","itemData":{"author":[{"dropping-particle":"","family":"Todaro","given":"Michael P.","non-dropping-particle":"","parse-names":false,"suffix":""},{"dropping-particle":"","family":"Smith","given":"Stephen C.","non-dropping-particle":"","parse-names":false,"suffix":""}],"id":"ITEM-1","issued":{"date-parts":[["2006"]]},"number-of-pages":"3-5","title":"Pembangunan Ekonomi Todaro Jilid 2","type":"book"},"uris":["http://www.mendeley.com/documents/?uuid=04a05bd4-2422-48fa-a997-5ee373d4ad31"]}],"mendeley":{"formattedCitation":"(Todaro &amp; Smith, 2006)","plainTextFormattedCitation":"(Todaro &amp; Smith, 2006)","previouslyFormattedCitation":"(Todaro &amp; Smith, 2006)"},"properties":{"noteIndex":0},"schema":"https://github.com/citation-style-language/schema/raw/master/csl-citation.json"}</w:instrText>
      </w:r>
      <w:r w:rsidR="00213F06">
        <w:rPr>
          <w:rFonts w:eastAsia="Times"/>
          <w:bCs/>
          <w:szCs w:val="24"/>
          <w:lang w:val="en-US"/>
        </w:rPr>
        <w:fldChar w:fldCharType="separate"/>
      </w:r>
      <w:r w:rsidR="00EE30CA" w:rsidRPr="00EE30CA">
        <w:rPr>
          <w:rFonts w:eastAsia="Times"/>
          <w:bCs/>
          <w:noProof/>
          <w:szCs w:val="24"/>
          <w:lang w:val="en-US"/>
        </w:rPr>
        <w:t>(Todaro &amp; Smith, 2006)</w:t>
      </w:r>
      <w:r w:rsidR="00213F06">
        <w:rPr>
          <w:rFonts w:eastAsia="Times"/>
          <w:bCs/>
          <w:szCs w:val="24"/>
          <w:lang w:val="en-US"/>
        </w:rPr>
        <w:fldChar w:fldCharType="end"/>
      </w:r>
      <w:r w:rsidR="00EE30CA">
        <w:rPr>
          <w:rFonts w:eastAsia="Times"/>
          <w:bCs/>
          <w:szCs w:val="24"/>
          <w:lang w:val="en-US"/>
        </w:rPr>
        <w:t xml:space="preserve">, </w:t>
      </w:r>
      <w:r w:rsidRPr="00920E32">
        <w:rPr>
          <w:rFonts w:eastAsia="Times"/>
          <w:bCs/>
          <w:szCs w:val="24"/>
          <w:lang w:val="en-US"/>
        </w:rPr>
        <w:t>related to investment in human resources (human investment theory), which is a sacrifice in the hope of obtaining a better income in the future. This research is in line with the finding of respondents who do not experience changes in trading time, which is an effort to make the most of it in the hope of getting a highincome</w:t>
      </w:r>
      <w:r w:rsidR="00E628A0">
        <w:rPr>
          <w:rFonts w:eastAsia="Times"/>
          <w:bCs/>
          <w:szCs w:val="24"/>
          <w:lang w:val="en-US"/>
        </w:rPr>
        <w:t>.</w:t>
      </w:r>
    </w:p>
    <w:p w:rsidR="00920E32" w:rsidRDefault="00920E32" w:rsidP="00920E32">
      <w:pPr>
        <w:ind w:firstLine="284"/>
        <w:jc w:val="both"/>
        <w:rPr>
          <w:rFonts w:eastAsia="Times"/>
          <w:bCs/>
          <w:szCs w:val="24"/>
          <w:lang w:val="en-US"/>
        </w:rPr>
      </w:pPr>
      <w:r w:rsidRPr="00920E32">
        <w:rPr>
          <w:rFonts w:eastAsia="Times"/>
          <w:bCs/>
          <w:szCs w:val="24"/>
          <w:lang w:val="en-US"/>
        </w:rPr>
        <w:t xml:space="preserve">According to </w:t>
      </w:r>
      <w:r w:rsidR="00213F06" w:rsidRPr="00E628A0">
        <w:rPr>
          <w:rFonts w:eastAsia="Times"/>
          <w:bCs/>
          <w:color w:val="000000" w:themeColor="text1"/>
          <w:szCs w:val="24"/>
          <w:lang w:val="en-US"/>
        </w:rPr>
        <w:fldChar w:fldCharType="begin" w:fldLock="1"/>
      </w:r>
      <w:r w:rsidR="00E628A0">
        <w:rPr>
          <w:rFonts w:eastAsia="Times"/>
          <w:bCs/>
          <w:color w:val="000000" w:themeColor="text1"/>
          <w:szCs w:val="24"/>
          <w:lang w:val="en-US"/>
        </w:rPr>
        <w:instrText>ADDIN CSL_CITATION {"citationItems":[{"id":"ITEM-1","itemData":{"author":[{"dropping-particle":"","family":"ANWAR","given":"SYAHRUL","non-dropping-particle":"","parse-names":false,"suffix":""}],"id":"ITEM-1","issued":{"date-parts":[["2020"]]},"title":"DAMPAK PENDAPATAN PEDAGANG ECERAN &amp; TOKO KELONTONG SETELAH ADANYA MINIMARKET MODERN SEBELUM &amp; PADA SAAT PANDEMI COVID-19 DI KECAMATAN COLOMADU KABUPATEN KARANGANYAR TAHUN 2020","type":"article-journal"},"uris":["http://www.mendeley.com/documents/?uuid=7f1ee9bc-0cb4-4a49-90de-1a093defe862"]}],"mendeley":{"formattedCitation":"(ANWAR, 2020)","manualFormatting":"(Anwar, 2020)","plainTextFormattedCitation":"(ANWAR, 2020)","previouslyFormattedCitation":"(ANWAR, 2020)"},"properties":{"noteIndex":0},"schema":"https://github.com/citation-style-language/schema/raw/master/csl-citation.json"}</w:instrText>
      </w:r>
      <w:r w:rsidR="00213F06" w:rsidRPr="00E628A0">
        <w:rPr>
          <w:rFonts w:eastAsia="Times"/>
          <w:bCs/>
          <w:color w:val="000000" w:themeColor="text1"/>
          <w:szCs w:val="24"/>
          <w:lang w:val="en-US"/>
        </w:rPr>
        <w:fldChar w:fldCharType="separate"/>
      </w:r>
      <w:r w:rsidR="00E628A0" w:rsidRPr="00E628A0">
        <w:rPr>
          <w:rFonts w:eastAsia="Times"/>
          <w:bCs/>
          <w:noProof/>
          <w:color w:val="000000" w:themeColor="text1"/>
          <w:szCs w:val="24"/>
          <w:lang w:val="en-US"/>
        </w:rPr>
        <w:t>(Anwar, 2020)</w:t>
      </w:r>
      <w:r w:rsidR="00213F06" w:rsidRPr="00E628A0">
        <w:rPr>
          <w:rFonts w:eastAsia="Times"/>
          <w:bCs/>
          <w:color w:val="000000" w:themeColor="text1"/>
          <w:szCs w:val="24"/>
          <w:lang w:val="en-US"/>
        </w:rPr>
        <w:fldChar w:fldCharType="end"/>
      </w:r>
      <w:r w:rsidR="00E628A0" w:rsidRPr="00E628A0">
        <w:rPr>
          <w:rFonts w:eastAsia="Times"/>
          <w:bCs/>
          <w:color w:val="000000" w:themeColor="text1"/>
          <w:szCs w:val="24"/>
          <w:lang w:val="en-US"/>
        </w:rPr>
        <w:t>,</w:t>
      </w:r>
      <w:r w:rsidRPr="00E628A0">
        <w:rPr>
          <w:rFonts w:eastAsia="Times"/>
          <w:bCs/>
          <w:color w:val="000000" w:themeColor="text1"/>
          <w:szCs w:val="24"/>
          <w:lang w:val="en-US"/>
        </w:rPr>
        <w:t xml:space="preserve"> which</w:t>
      </w:r>
      <w:r w:rsidRPr="00920E32">
        <w:rPr>
          <w:rFonts w:eastAsia="Times"/>
          <w:bCs/>
          <w:szCs w:val="24"/>
          <w:lang w:val="en-US"/>
        </w:rPr>
        <w:t xml:space="preserve"> reveals that traders maintain and begin to change their operational working hours to 24 hours, in an effort to retain customers and traders' businesses. In addition, previous research has revealed that many countries have conditioned store openings to order special shopping hours for vulnerable groups, a practice that can be extended to home delivery so that sales can be maximized</w:t>
      </w:r>
      <w:r w:rsidR="00213F06">
        <w:rPr>
          <w:rFonts w:eastAsia="Times"/>
          <w:bCs/>
          <w:szCs w:val="24"/>
          <w:lang w:val="en-US"/>
        </w:rPr>
        <w:fldChar w:fldCharType="begin" w:fldLock="1"/>
      </w:r>
      <w:r w:rsidR="00DB54A8">
        <w:rPr>
          <w:rFonts w:eastAsia="Times"/>
          <w:bCs/>
          <w:szCs w:val="24"/>
          <w:lang w:val="en-US"/>
        </w:rPr>
        <w:instrText>ADDIN CSL_CITATION {"citationItems":[{"id":"ITEM-1","itemData":{"author":[{"dropping-particle":"","family":"OCED","given":"","non-dropping-particle":"","parse-names":false,"suffix":""}],"id":"ITEM-1","issue":"October","issued":{"date-parts":[["2020"]]},"page":"1-10","title":"E-commerce in the times of COVID-19","type":"article-journal"},"uris":["http://www.mendeley.com/documents/?uuid=91d05cc3-0165-47ab-85d7-c3b8983ef69b"]}],"mendeley":{"formattedCitation":"(OCED, 2020)","plainTextFormattedCitation":"(OCED, 2020)","previouslyFormattedCitation":"(OCED, 2020)"},"properties":{"noteIndex":0},"schema":"https://github.com/citation-style-language/schema/raw/master/csl-citation.json"}</w:instrText>
      </w:r>
      <w:r w:rsidR="00213F06">
        <w:rPr>
          <w:rFonts w:eastAsia="Times"/>
          <w:bCs/>
          <w:szCs w:val="24"/>
          <w:lang w:val="en-US"/>
        </w:rPr>
        <w:fldChar w:fldCharType="separate"/>
      </w:r>
      <w:r w:rsidR="00DB54A8" w:rsidRPr="00DB54A8">
        <w:rPr>
          <w:rFonts w:eastAsia="Times"/>
          <w:bCs/>
          <w:noProof/>
          <w:szCs w:val="24"/>
          <w:lang w:val="en-US"/>
        </w:rPr>
        <w:t>(OCED, 2020)</w:t>
      </w:r>
      <w:r w:rsidR="00213F06">
        <w:rPr>
          <w:rFonts w:eastAsia="Times"/>
          <w:bCs/>
          <w:szCs w:val="24"/>
          <w:lang w:val="en-US"/>
        </w:rPr>
        <w:fldChar w:fldCharType="end"/>
      </w:r>
    </w:p>
    <w:p w:rsidR="00920E32" w:rsidRPr="00920E32" w:rsidRDefault="00920E32" w:rsidP="00920E32">
      <w:pPr>
        <w:ind w:firstLine="284"/>
        <w:jc w:val="both"/>
        <w:rPr>
          <w:rFonts w:eastAsia="Times"/>
          <w:bCs/>
          <w:szCs w:val="24"/>
          <w:lang w:val="en-US"/>
        </w:rPr>
      </w:pPr>
    </w:p>
    <w:p w:rsidR="00920E32" w:rsidRPr="00920E32" w:rsidRDefault="00920E32" w:rsidP="00920E32">
      <w:pPr>
        <w:ind w:firstLine="284"/>
        <w:jc w:val="center"/>
        <w:rPr>
          <w:rFonts w:eastAsia="Times"/>
          <w:bCs/>
          <w:sz w:val="18"/>
          <w:szCs w:val="24"/>
          <w:lang w:val="en-US"/>
        </w:rPr>
      </w:pPr>
      <w:r w:rsidRPr="00920E32">
        <w:rPr>
          <w:rFonts w:eastAsia="Times"/>
          <w:b/>
          <w:bCs/>
          <w:sz w:val="18"/>
          <w:szCs w:val="24"/>
          <w:lang w:val="en-US"/>
        </w:rPr>
        <w:t>Table 5.</w:t>
      </w:r>
      <w:r w:rsidRPr="00920E32">
        <w:rPr>
          <w:rFonts w:eastAsia="Times"/>
          <w:bCs/>
          <w:sz w:val="18"/>
          <w:szCs w:val="24"/>
          <w:lang w:val="en-US"/>
        </w:rPr>
        <w:t xml:space="preserve"> Results of the Wilcoxon Signed Rank Test Variable Number of Consumers Before and During the Covid-19Pandemic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6"/>
        <w:gridCol w:w="1677"/>
      </w:tblGrid>
      <w:tr w:rsidR="00920E32" w:rsidRPr="00920E32" w:rsidTr="00920E32">
        <w:trPr>
          <w:trHeight w:val="412"/>
          <w:jc w:val="center"/>
        </w:trPr>
        <w:tc>
          <w:tcPr>
            <w:tcW w:w="1916" w:type="dxa"/>
          </w:tcPr>
          <w:p w:rsidR="00920E32" w:rsidRPr="00920E32" w:rsidRDefault="00920E32" w:rsidP="00920E32">
            <w:pPr>
              <w:ind w:firstLine="284"/>
              <w:jc w:val="both"/>
              <w:rPr>
                <w:rFonts w:eastAsia="Times"/>
                <w:bCs/>
                <w:sz w:val="18"/>
                <w:szCs w:val="24"/>
                <w:lang w:val="en-US"/>
              </w:rPr>
            </w:pPr>
          </w:p>
        </w:tc>
        <w:tc>
          <w:tcPr>
            <w:tcW w:w="1677" w:type="dxa"/>
            <w:vAlign w:val="center"/>
          </w:tcPr>
          <w:p w:rsidR="00920E32" w:rsidRPr="00920E32" w:rsidRDefault="00920E32" w:rsidP="00920E32">
            <w:pPr>
              <w:rPr>
                <w:rFonts w:eastAsia="Times"/>
                <w:bCs/>
                <w:sz w:val="18"/>
                <w:szCs w:val="24"/>
                <w:lang w:val="en-US"/>
              </w:rPr>
            </w:pPr>
            <w:r>
              <w:rPr>
                <w:rFonts w:eastAsia="Times"/>
                <w:bCs/>
                <w:sz w:val="18"/>
                <w:szCs w:val="24"/>
                <w:lang w:val="en-US"/>
              </w:rPr>
              <w:t xml:space="preserve">BEFORE </w:t>
            </w:r>
            <w:r w:rsidRPr="00920E32">
              <w:rPr>
                <w:rFonts w:eastAsia="Times"/>
                <w:bCs/>
                <w:sz w:val="18"/>
                <w:szCs w:val="24"/>
                <w:lang w:val="en-US"/>
              </w:rPr>
              <w:t>DURING</w:t>
            </w:r>
          </w:p>
        </w:tc>
      </w:tr>
      <w:tr w:rsidR="00920E32" w:rsidRPr="00920E32" w:rsidTr="00920E32">
        <w:trPr>
          <w:trHeight w:val="259"/>
          <w:jc w:val="center"/>
        </w:trPr>
        <w:tc>
          <w:tcPr>
            <w:tcW w:w="1916" w:type="dxa"/>
            <w:tcBorders>
              <w:bottom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Z</w:t>
            </w:r>
          </w:p>
        </w:tc>
        <w:tc>
          <w:tcPr>
            <w:tcW w:w="1677" w:type="dxa"/>
            <w:tcBorders>
              <w:bottom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-6.106</w:t>
            </w:r>
            <w:r w:rsidRPr="00920E32">
              <w:rPr>
                <w:rFonts w:eastAsia="Times"/>
                <w:bCs/>
                <w:sz w:val="18"/>
                <w:szCs w:val="24"/>
                <w:vertAlign w:val="superscript"/>
                <w:lang w:val="en-US"/>
              </w:rPr>
              <w:t>b</w:t>
            </w:r>
          </w:p>
        </w:tc>
      </w:tr>
      <w:tr w:rsidR="00920E32" w:rsidRPr="00920E32" w:rsidTr="00920E32">
        <w:trPr>
          <w:trHeight w:val="311"/>
          <w:jc w:val="center"/>
        </w:trPr>
        <w:tc>
          <w:tcPr>
            <w:tcW w:w="1916" w:type="dxa"/>
            <w:tcBorders>
              <w:top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Asymp. Sig. (2-tailed)</w:t>
            </w:r>
          </w:p>
        </w:tc>
        <w:tc>
          <w:tcPr>
            <w:tcW w:w="1677" w:type="dxa"/>
            <w:tcBorders>
              <w:top w:val="nil"/>
            </w:tcBorders>
          </w:tcPr>
          <w:p w:rsidR="00920E32" w:rsidRPr="00920E32" w:rsidRDefault="00920E32" w:rsidP="00920E32">
            <w:pPr>
              <w:ind w:firstLine="284"/>
              <w:jc w:val="both"/>
              <w:rPr>
                <w:rFonts w:eastAsia="Times"/>
                <w:bCs/>
                <w:sz w:val="18"/>
                <w:szCs w:val="24"/>
                <w:lang w:val="en-US"/>
              </w:rPr>
            </w:pPr>
            <w:r w:rsidRPr="00920E32">
              <w:rPr>
                <w:rFonts w:eastAsia="Times"/>
                <w:bCs/>
                <w:sz w:val="18"/>
                <w:szCs w:val="24"/>
                <w:lang w:val="en-US"/>
              </w:rPr>
              <w:t>.000</w:t>
            </w:r>
          </w:p>
        </w:tc>
      </w:tr>
    </w:tbl>
    <w:p w:rsidR="00920E32" w:rsidRPr="00920E32" w:rsidRDefault="00920E32" w:rsidP="00920E32">
      <w:pPr>
        <w:ind w:firstLine="284"/>
        <w:jc w:val="both"/>
        <w:rPr>
          <w:rFonts w:eastAsia="Times"/>
          <w:bCs/>
          <w:szCs w:val="24"/>
          <w:lang w:val="en-US"/>
        </w:rPr>
      </w:pPr>
      <w:r w:rsidRPr="00920E32">
        <w:rPr>
          <w:rFonts w:eastAsia="Times"/>
          <w:bCs/>
          <w:szCs w:val="24"/>
          <w:lang w:val="en-US"/>
        </w:rPr>
        <w:lastRenderedPageBreak/>
        <w:t>Based on the results of the Wilcoxon different test in table 4, there is a significant difference in the number of consumers before and during the coronavirus (Covid-19) in Pahawang Island tourism at a 95% confidence level. This is indicated by the asymp.sig (2-tailed) value, which is 0.000 less than 0.05.</w:t>
      </w:r>
    </w:p>
    <w:p w:rsidR="00920E32" w:rsidRPr="00920E32" w:rsidRDefault="00920E32" w:rsidP="00920E32">
      <w:pPr>
        <w:ind w:firstLine="284"/>
        <w:jc w:val="both"/>
        <w:rPr>
          <w:rFonts w:eastAsia="Times"/>
          <w:bCs/>
          <w:szCs w:val="24"/>
          <w:lang w:val="en-US"/>
        </w:rPr>
      </w:pPr>
      <w:r w:rsidRPr="00920E32">
        <w:rPr>
          <w:rFonts w:eastAsia="Times"/>
          <w:bCs/>
          <w:szCs w:val="24"/>
          <w:lang w:val="en-US"/>
        </w:rPr>
        <w:t>There was difference in the number of merchant consumers on Pahawang Island tours before and during the coronavirus disease (Covid-19). The highest number of merchant consumers before Covid-19 reached 100 people per day and the lowest was 10 people per day. Meanwhile, when there was a pandemic, the highest number of merchant consumers was only 30 people per day and the lowest was only 4 people per day.The demand of a person or society for an item is determined by various factors, one of which is consumer taste</w:t>
      </w:r>
      <w:r w:rsidR="00213F06">
        <w:rPr>
          <w:rFonts w:eastAsia="Times"/>
          <w:bCs/>
          <w:szCs w:val="24"/>
          <w:lang w:val="en-US"/>
        </w:rPr>
        <w:fldChar w:fldCharType="begin" w:fldLock="1"/>
      </w:r>
      <w:r w:rsidR="00E628A0">
        <w:rPr>
          <w:rFonts w:eastAsia="Times"/>
          <w:bCs/>
          <w:szCs w:val="24"/>
          <w:lang w:val="en-US"/>
        </w:rPr>
        <w:instrText>ADDIN CSL_CITATION {"citationItems":[{"id":"ITEM-1","itemData":{"ISBN":"978-1-118-17793-8","author":[{"dropping-particle":"","family":"Mankiw","given":"","non-dropping-particle":"","parse-names":false,"suffix":""}],"id":"ITEM-1","issued":{"date-parts":[["2014"]]},"number-of-pages":"3-7","title":"Internasional Economic","type":"book"},"uris":["http://www.mendeley.com/documents/?uuid=c0f926ec-722f-4386-9749-27967421a0c1"]}],"mendeley":{"formattedCitation":"(Mankiw, 2014)","plainTextFormattedCitation":"(Mankiw, 2014)","previouslyFormattedCitation":"(Mankiw, 2014)"},"properties":{"noteIndex":0},"schema":"https://github.com/citation-style-language/schema/raw/master/csl-citation.json"}</w:instrText>
      </w:r>
      <w:r w:rsidR="00213F06">
        <w:rPr>
          <w:rFonts w:eastAsia="Times"/>
          <w:bCs/>
          <w:szCs w:val="24"/>
          <w:lang w:val="en-US"/>
        </w:rPr>
        <w:fldChar w:fldCharType="separate"/>
      </w:r>
      <w:r w:rsidR="00E628A0" w:rsidRPr="00E628A0">
        <w:rPr>
          <w:rFonts w:eastAsia="Times"/>
          <w:bCs/>
          <w:noProof/>
          <w:szCs w:val="24"/>
          <w:lang w:val="en-US"/>
        </w:rPr>
        <w:t>(Mankiw, 2014)</w:t>
      </w:r>
      <w:r w:rsidR="00213F06">
        <w:rPr>
          <w:rFonts w:eastAsia="Times"/>
          <w:bCs/>
          <w:szCs w:val="24"/>
          <w:lang w:val="en-US"/>
        </w:rPr>
        <w:fldChar w:fldCharType="end"/>
      </w:r>
      <w:r w:rsidR="00E628A0">
        <w:rPr>
          <w:rFonts w:eastAsia="Times"/>
          <w:bCs/>
          <w:szCs w:val="24"/>
          <w:lang w:val="en-US"/>
        </w:rPr>
        <w:t xml:space="preserve">. </w:t>
      </w:r>
      <w:r w:rsidRPr="00920E32">
        <w:rPr>
          <w:rFonts w:eastAsia="Times"/>
          <w:bCs/>
          <w:szCs w:val="24"/>
          <w:lang w:val="en-US"/>
        </w:rPr>
        <w:t>Thus, even though in 2020 the number of visitors has increased, the results of the study show that there is a decrease in the number of merchant consumers, this is due to the fact that visitors only eat food and drink provided by the inn or villa. In addition, visitors can bring their own food and drinks from outside so that cleanliness and safety are moreguaranteed.</w:t>
      </w:r>
    </w:p>
    <w:p w:rsidR="00920E32" w:rsidRPr="00920E32" w:rsidRDefault="00920E32" w:rsidP="00920E32">
      <w:pPr>
        <w:ind w:firstLine="284"/>
        <w:jc w:val="both"/>
        <w:rPr>
          <w:rFonts w:eastAsia="Times"/>
          <w:bCs/>
          <w:szCs w:val="24"/>
          <w:lang w:val="en-US"/>
        </w:rPr>
      </w:pPr>
      <w:r w:rsidRPr="00920E32">
        <w:rPr>
          <w:rFonts w:eastAsia="Times"/>
          <w:bCs/>
          <w:szCs w:val="24"/>
          <w:lang w:val="en-US"/>
        </w:rPr>
        <w:t xml:space="preserve">The statement above is accordace with </w:t>
      </w:r>
      <w:r w:rsidR="00213F06">
        <w:rPr>
          <w:rFonts w:eastAsia="Times"/>
          <w:bCs/>
          <w:szCs w:val="24"/>
          <w:lang w:val="en-US"/>
        </w:rPr>
        <w:fldChar w:fldCharType="begin" w:fldLock="1"/>
      </w:r>
      <w:r w:rsidR="00E628A0">
        <w:rPr>
          <w:rFonts w:eastAsia="Times"/>
          <w:bCs/>
          <w:szCs w:val="24"/>
          <w:lang w:val="en-US"/>
        </w:rPr>
        <w:instrText>ADDIN CSL_CITATION {"citationItems":[{"id":"ITEM-1","itemData":{"DOI":"10.1016/j.jbusres.2020.05.059","ISSN":"01482963","PMID":"32536735","abstract":"The COVID-19 pandemic and the lockdown and social distancing mandates have disrupted the consumer habits of buying as well as shopping. Consumers are learning to improvise and learn new habits. For example, consumers cannot go to the store, so the store comes to home. While consumers go back to old habits, it is likely that they will be modified by new regulations and procedures in the way consumers shop and buy products and services. New habits will also emerge by technology advances, changing demographics and innovative ways consumers have learned to cope with blurring the work, leisure, and education boundaries.","author":[{"dropping-particle":"","family":"Sheth","given":"Jagdish","non-dropping-particle":"","parse-names":false,"suffix":""}],"container-title":"Journal of Business Research","id":"ITEM-1","issued":{"date-parts":[["2020"]]},"page":"280-283","publisher":"Elsevier","title":"Impact of Covid-19 on consumer behavior: Will the old habits return or die?","type":"article-journal","volume":"117"},"uris":["http://www.mendeley.com/documents/?uuid=abb5a19f-5ead-4cf8-9783-ced3ec279f4d"]}],"mendeley":{"formattedCitation":"(Sheth, 2020)","plainTextFormattedCitation":"(Sheth, 2020)"},"properties":{"noteIndex":0},"schema":"https://github.com/citation-style-language/schema/raw/master/csl-citation.json"}</w:instrText>
      </w:r>
      <w:r w:rsidR="00213F06">
        <w:rPr>
          <w:rFonts w:eastAsia="Times"/>
          <w:bCs/>
          <w:szCs w:val="24"/>
          <w:lang w:val="en-US"/>
        </w:rPr>
        <w:fldChar w:fldCharType="separate"/>
      </w:r>
      <w:r w:rsidR="00E628A0" w:rsidRPr="00E628A0">
        <w:rPr>
          <w:rFonts w:eastAsia="Times"/>
          <w:bCs/>
          <w:noProof/>
          <w:szCs w:val="24"/>
          <w:lang w:val="en-US"/>
        </w:rPr>
        <w:t>(Sheth, 2020)</w:t>
      </w:r>
      <w:r w:rsidR="00213F06">
        <w:rPr>
          <w:rFonts w:eastAsia="Times"/>
          <w:bCs/>
          <w:szCs w:val="24"/>
          <w:lang w:val="en-US"/>
        </w:rPr>
        <w:fldChar w:fldCharType="end"/>
      </w:r>
      <w:r w:rsidR="00E628A0">
        <w:rPr>
          <w:rFonts w:eastAsia="Times"/>
          <w:bCs/>
          <w:szCs w:val="24"/>
          <w:lang w:val="en-US"/>
        </w:rPr>
        <w:t>,</w:t>
      </w:r>
      <w:r w:rsidRPr="00920E32">
        <w:rPr>
          <w:rFonts w:eastAsia="Times"/>
          <w:bCs/>
          <w:szCs w:val="24"/>
          <w:lang w:val="en-US"/>
        </w:rPr>
        <w:t xml:space="preserve"> the Covid-19 pandemic and the lockdown and social distancing mandates have disruptedconsumer buying and shopping habits. Consumers are learning to improvise and learn new habits. For example, consumers cannot go to the store, so that shop comes to the house.</w:t>
      </w:r>
    </w:p>
    <w:p w:rsidR="001E02B4" w:rsidRDefault="001E02B4" w:rsidP="001B1E4E">
      <w:pPr>
        <w:jc w:val="both"/>
        <w:rPr>
          <w:rFonts w:eastAsia="Times"/>
          <w:b/>
          <w:sz w:val="24"/>
          <w:szCs w:val="24"/>
        </w:rPr>
      </w:pPr>
    </w:p>
    <w:p w:rsidR="00570E17" w:rsidRDefault="001B1E4E" w:rsidP="001B1E4E">
      <w:pPr>
        <w:jc w:val="both"/>
        <w:rPr>
          <w:rFonts w:eastAsia="Times"/>
          <w:b/>
          <w:sz w:val="24"/>
          <w:szCs w:val="24"/>
        </w:rPr>
      </w:pPr>
      <w:r>
        <w:rPr>
          <w:rFonts w:eastAsia="Times"/>
          <w:b/>
          <w:sz w:val="24"/>
          <w:szCs w:val="24"/>
        </w:rPr>
        <w:t xml:space="preserve">5. </w:t>
      </w:r>
      <w:r w:rsidR="00A417FC">
        <w:rPr>
          <w:rFonts w:eastAsia="Times"/>
          <w:b/>
          <w:sz w:val="24"/>
          <w:szCs w:val="24"/>
        </w:rPr>
        <w:t>Implication and Suggestion for Future Research</w:t>
      </w:r>
    </w:p>
    <w:p w:rsidR="00570E17" w:rsidRDefault="00570E17" w:rsidP="001B1E4E">
      <w:pPr>
        <w:jc w:val="both"/>
        <w:rPr>
          <w:rFonts w:eastAsia="Times"/>
          <w:b/>
          <w:sz w:val="24"/>
          <w:szCs w:val="24"/>
        </w:rPr>
      </w:pPr>
    </w:p>
    <w:p w:rsidR="00920E32" w:rsidRDefault="00920E32" w:rsidP="00920E32">
      <w:pPr>
        <w:ind w:firstLine="284"/>
        <w:jc w:val="both"/>
        <w:rPr>
          <w:rFonts w:eastAsia="Times"/>
          <w:szCs w:val="24"/>
          <w:lang w:val="en-US"/>
        </w:rPr>
      </w:pPr>
      <w:r w:rsidRPr="00920E32">
        <w:rPr>
          <w:rFonts w:eastAsia="Times"/>
          <w:szCs w:val="24"/>
          <w:lang w:val="en-US"/>
        </w:rPr>
        <w:t>This study aimed at determining the impact of the coronavirus disease (Covid-19) pandemic on income, working hours and the number of consumer traders in Pahawang Island tours, Punduh Marga, Pesawaran. Based on the formulation of the research problem used, as well as data analysis that had been carried out and the discussion that had been illustrated . There were three conslussion as follow</w:t>
      </w:r>
      <w:r>
        <w:rPr>
          <w:rFonts w:eastAsia="Times"/>
          <w:szCs w:val="24"/>
          <w:lang w:val="en-US"/>
        </w:rPr>
        <w:t xml:space="preserve"> :</w:t>
      </w:r>
    </w:p>
    <w:p w:rsidR="00920E32" w:rsidRPr="00920E32" w:rsidRDefault="00920E32" w:rsidP="00920E32">
      <w:pPr>
        <w:numPr>
          <w:ilvl w:val="0"/>
          <w:numId w:val="5"/>
        </w:numPr>
        <w:jc w:val="both"/>
        <w:rPr>
          <w:rFonts w:eastAsia="Times"/>
          <w:szCs w:val="24"/>
          <w:lang w:val="en-US"/>
        </w:rPr>
      </w:pPr>
      <w:r w:rsidRPr="00920E32">
        <w:rPr>
          <w:rFonts w:eastAsia="Times"/>
          <w:szCs w:val="24"/>
          <w:lang w:val="en-US"/>
        </w:rPr>
        <w:t>There was a significant difference in the income level of traders before and during the coronavirus disease (Covid-19). Traders had a tendency to decline in income during thepandemic.</w:t>
      </w:r>
    </w:p>
    <w:p w:rsidR="00920E32" w:rsidRPr="00920E32" w:rsidRDefault="00920E32" w:rsidP="00920E32">
      <w:pPr>
        <w:numPr>
          <w:ilvl w:val="0"/>
          <w:numId w:val="5"/>
        </w:numPr>
        <w:jc w:val="both"/>
        <w:rPr>
          <w:rFonts w:eastAsia="Times"/>
          <w:szCs w:val="24"/>
          <w:lang w:val="en-US"/>
        </w:rPr>
      </w:pPr>
      <w:r w:rsidRPr="00920E32">
        <w:rPr>
          <w:rFonts w:eastAsia="Times"/>
          <w:szCs w:val="24"/>
          <w:lang w:val="en-US"/>
        </w:rPr>
        <w:t>There were significant differences in the level of working hours of traders before and during the coronavirus disease (Covid-19). Traders had a tendency to decrease their working (operational) hours during the pandemic.</w:t>
      </w:r>
    </w:p>
    <w:p w:rsidR="00920E32" w:rsidRDefault="00920E32" w:rsidP="00920E32">
      <w:pPr>
        <w:numPr>
          <w:ilvl w:val="0"/>
          <w:numId w:val="5"/>
        </w:numPr>
        <w:jc w:val="both"/>
        <w:rPr>
          <w:rFonts w:eastAsia="Times"/>
          <w:szCs w:val="24"/>
          <w:lang w:val="en-US"/>
        </w:rPr>
      </w:pPr>
      <w:r w:rsidRPr="00920E32">
        <w:rPr>
          <w:rFonts w:eastAsia="Times"/>
          <w:szCs w:val="24"/>
          <w:lang w:val="en-US"/>
        </w:rPr>
        <w:t>There were significant differences in the level of the number of consumers before and during the coronavirus disease (Covid-19). Traders were experiencing a downward trend in the number of consumers during the pandemic.</w:t>
      </w:r>
    </w:p>
    <w:p w:rsidR="00570E17" w:rsidRPr="00920E32" w:rsidRDefault="00570E17" w:rsidP="00570E17">
      <w:pPr>
        <w:ind w:left="361"/>
        <w:jc w:val="both"/>
        <w:rPr>
          <w:rFonts w:eastAsia="Times"/>
          <w:szCs w:val="24"/>
          <w:lang w:val="en-US"/>
        </w:rPr>
      </w:pPr>
    </w:p>
    <w:p w:rsidR="00570E17" w:rsidRPr="00570E17" w:rsidRDefault="00570E17" w:rsidP="00570E17">
      <w:pPr>
        <w:ind w:firstLine="284"/>
        <w:jc w:val="both"/>
        <w:rPr>
          <w:rFonts w:eastAsia="Times"/>
          <w:szCs w:val="24"/>
          <w:lang w:val="en-US"/>
        </w:rPr>
      </w:pPr>
      <w:r w:rsidRPr="00570E17">
        <w:rPr>
          <w:rFonts w:eastAsia="Times"/>
          <w:szCs w:val="24"/>
          <w:lang w:val="en-US"/>
        </w:rPr>
        <w:t xml:space="preserve">After applying the research, analyzing the data and formulating the conclusions, the researcher </w:t>
      </w:r>
      <w:r>
        <w:rPr>
          <w:rFonts w:eastAsia="Times"/>
          <w:szCs w:val="24"/>
          <w:lang w:val="en-US"/>
        </w:rPr>
        <w:t xml:space="preserve">delivered suggestions as follow </w:t>
      </w:r>
      <w:r w:rsidRPr="00570E17">
        <w:rPr>
          <w:rFonts w:eastAsia="Times"/>
          <w:szCs w:val="24"/>
          <w:lang w:val="en-US"/>
        </w:rPr>
        <w:t>After applying the research, analyzing the data and formulating conclusions, the researcher su</w:t>
      </w:r>
      <w:r>
        <w:rPr>
          <w:rFonts w:eastAsia="Times"/>
          <w:szCs w:val="24"/>
          <w:lang w:val="en-US"/>
        </w:rPr>
        <w:t xml:space="preserve">bmits the following suggestions </w:t>
      </w:r>
      <w:r w:rsidRPr="00570E17">
        <w:rPr>
          <w:rFonts w:eastAsia="Times"/>
          <w:szCs w:val="24"/>
          <w:lang w:val="en-US"/>
        </w:rPr>
        <w:t>in order toImplement payments with financial technology and electronic money so that the activities of sellers and buyers can be controlled safely, comfortably and efficiently and carry out agricultural cultivation so that they can find alternative income during the pandemic.</w:t>
      </w:r>
    </w:p>
    <w:p w:rsidR="00920E32" w:rsidRPr="00920E32" w:rsidRDefault="00920E32" w:rsidP="00920E32">
      <w:pPr>
        <w:ind w:firstLine="284"/>
        <w:jc w:val="both"/>
        <w:rPr>
          <w:rFonts w:eastAsia="Times"/>
          <w:szCs w:val="24"/>
          <w:lang w:val="en-US"/>
        </w:rPr>
      </w:pPr>
    </w:p>
    <w:p w:rsidR="00AF09E9" w:rsidRDefault="00AF09E9" w:rsidP="00AF09E9">
      <w:pPr>
        <w:jc w:val="both"/>
        <w:rPr>
          <w:rFonts w:eastAsia="Times"/>
          <w:sz w:val="18"/>
          <w:szCs w:val="24"/>
          <w:lang w:val="en-US"/>
        </w:rPr>
      </w:pPr>
    </w:p>
    <w:p w:rsidR="00570E17" w:rsidRDefault="00570E17" w:rsidP="00AF09E9">
      <w:pPr>
        <w:jc w:val="both"/>
        <w:rPr>
          <w:rFonts w:eastAsia="Times"/>
          <w:sz w:val="18"/>
          <w:szCs w:val="24"/>
          <w:lang w:val="en-US"/>
        </w:rPr>
      </w:pPr>
    </w:p>
    <w:p w:rsidR="00570E17" w:rsidRDefault="00570E17" w:rsidP="00AF09E9">
      <w:pPr>
        <w:jc w:val="both"/>
        <w:rPr>
          <w:rFonts w:eastAsia="Times"/>
          <w:sz w:val="18"/>
          <w:szCs w:val="24"/>
          <w:lang w:val="en-US"/>
        </w:rPr>
      </w:pPr>
    </w:p>
    <w:p w:rsidR="00E628A0" w:rsidRDefault="00E628A0" w:rsidP="00AF09E9">
      <w:pPr>
        <w:jc w:val="both"/>
        <w:rPr>
          <w:rFonts w:eastAsia="Times"/>
          <w:sz w:val="18"/>
          <w:szCs w:val="24"/>
          <w:lang w:val="en-US"/>
        </w:rPr>
      </w:pPr>
    </w:p>
    <w:p w:rsidR="00570E17" w:rsidRDefault="00570E17" w:rsidP="00AF09E9">
      <w:pPr>
        <w:jc w:val="both"/>
        <w:rPr>
          <w:rFonts w:eastAsia="Times"/>
          <w:sz w:val="18"/>
          <w:szCs w:val="24"/>
          <w:lang w:val="en-US"/>
        </w:rPr>
      </w:pPr>
    </w:p>
    <w:p w:rsidR="001B1E4E" w:rsidRPr="00AF09E9" w:rsidRDefault="001B1E4E" w:rsidP="00AF09E9">
      <w:pPr>
        <w:jc w:val="both"/>
        <w:rPr>
          <w:rFonts w:eastAsia="Times"/>
          <w:sz w:val="18"/>
          <w:szCs w:val="24"/>
          <w:lang w:val="en-US"/>
        </w:rPr>
      </w:pPr>
      <w:r>
        <w:rPr>
          <w:rFonts w:eastAsia="Times"/>
          <w:b/>
          <w:sz w:val="24"/>
          <w:szCs w:val="24"/>
        </w:rPr>
        <w:lastRenderedPageBreak/>
        <w:t>6. Reference</w:t>
      </w:r>
    </w:p>
    <w:p w:rsidR="00E628A0" w:rsidRPr="00E628A0" w:rsidRDefault="00213F06" w:rsidP="00E628A0">
      <w:pPr>
        <w:widowControl w:val="0"/>
        <w:autoSpaceDE w:val="0"/>
        <w:autoSpaceDN w:val="0"/>
        <w:adjustRightInd w:val="0"/>
        <w:ind w:left="480" w:hanging="480"/>
        <w:rPr>
          <w:noProof/>
          <w:szCs w:val="24"/>
        </w:rPr>
      </w:pPr>
      <w:r w:rsidRPr="001E02B4">
        <w:rPr>
          <w:sz w:val="22"/>
        </w:rPr>
        <w:fldChar w:fldCharType="begin" w:fldLock="1"/>
      </w:r>
      <w:r w:rsidR="003A4B7B" w:rsidRPr="001E02B4">
        <w:rPr>
          <w:sz w:val="22"/>
        </w:rPr>
        <w:instrText xml:space="preserve">ADDIN Mendeley Bibliography CSL_BIBLIOGRAPHY </w:instrText>
      </w:r>
      <w:r w:rsidRPr="001E02B4">
        <w:rPr>
          <w:sz w:val="22"/>
        </w:rPr>
        <w:fldChar w:fldCharType="separate"/>
      </w:r>
      <w:r w:rsidR="00D85013" w:rsidRPr="00E628A0">
        <w:rPr>
          <w:noProof/>
          <w:szCs w:val="24"/>
        </w:rPr>
        <w:t>Anwar, S</w:t>
      </w:r>
      <w:r w:rsidR="00E628A0" w:rsidRPr="00E628A0">
        <w:rPr>
          <w:noProof/>
          <w:szCs w:val="24"/>
        </w:rPr>
        <w:t xml:space="preserve">. (2020). </w:t>
      </w:r>
      <w:r w:rsidR="00D85013" w:rsidRPr="00E628A0">
        <w:rPr>
          <w:i/>
          <w:iCs/>
          <w:noProof/>
          <w:szCs w:val="24"/>
        </w:rPr>
        <w:t>Dampak pendapatan pedagang eceran &amp; toko kelontong setelah adanya minimarket modern sebelum &amp; pada saat pandemi covid-19 di kecamatan colomadu kabupaten karanganyar tahun 2020</w:t>
      </w:r>
      <w:r w:rsidR="00E628A0" w:rsidRPr="00E628A0">
        <w:rPr>
          <w:noProof/>
          <w:szCs w:val="24"/>
        </w:rPr>
        <w:t>.</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Baarsch, F., Granadillos, J. R., Hare, W., Knaus, M., Krapp, M., Schaeffer, M., &amp; Lotze-Campen, H. (2020). The impact of climate change on incomes and convergence in Africa. </w:t>
      </w:r>
      <w:r w:rsidRPr="00E628A0">
        <w:rPr>
          <w:i/>
          <w:iCs/>
          <w:noProof/>
          <w:szCs w:val="24"/>
        </w:rPr>
        <w:t>World Development</w:t>
      </w:r>
      <w:r w:rsidRPr="00E628A0">
        <w:rPr>
          <w:noProof/>
          <w:szCs w:val="24"/>
        </w:rPr>
        <w:t xml:space="preserve">, </w:t>
      </w:r>
      <w:r w:rsidRPr="00E628A0">
        <w:rPr>
          <w:i/>
          <w:iCs/>
          <w:noProof/>
          <w:szCs w:val="24"/>
        </w:rPr>
        <w:t>126</w:t>
      </w:r>
      <w:r w:rsidRPr="00E628A0">
        <w:rPr>
          <w:noProof/>
          <w:szCs w:val="24"/>
        </w:rPr>
        <w:t>, 104699. https://doi.org/10.1016/j.worlddev.2019.104699</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Butu, A., Brumă, I. S., Tanasă, L., Rodino, S., Vasiliu, C. D., Doboș, S., &amp; Butu, M. (2020). The impact of COVID-19 crisis upon the consumer buying behavior of fresh vegetables directly from local producers. Case study: The quarantined area of Suceava County, Romania. </w:t>
      </w:r>
      <w:r w:rsidRPr="00E628A0">
        <w:rPr>
          <w:i/>
          <w:iCs/>
          <w:noProof/>
          <w:szCs w:val="24"/>
        </w:rPr>
        <w:t>International Journal of Environmental Research and Public Health</w:t>
      </w:r>
      <w:r w:rsidRPr="00E628A0">
        <w:rPr>
          <w:noProof/>
          <w:szCs w:val="24"/>
        </w:rPr>
        <w:t xml:space="preserve">, </w:t>
      </w:r>
      <w:r w:rsidRPr="00E628A0">
        <w:rPr>
          <w:i/>
          <w:iCs/>
          <w:noProof/>
          <w:szCs w:val="24"/>
        </w:rPr>
        <w:t>17</w:t>
      </w:r>
      <w:r w:rsidRPr="00E628A0">
        <w:rPr>
          <w:noProof/>
          <w:szCs w:val="24"/>
        </w:rPr>
        <w:t>(15), 1–25. https://doi.org/10.3390/ijerph17155485</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Davidsson, Å. (2020). Disasters as an opportunity for improved environmental conditions. </w:t>
      </w:r>
      <w:r w:rsidRPr="00E628A0">
        <w:rPr>
          <w:i/>
          <w:iCs/>
          <w:noProof/>
          <w:szCs w:val="24"/>
        </w:rPr>
        <w:t>International Journal of Disaster Risk Reduction</w:t>
      </w:r>
      <w:r w:rsidRPr="00E628A0">
        <w:rPr>
          <w:noProof/>
          <w:szCs w:val="24"/>
        </w:rPr>
        <w:t xml:space="preserve">, </w:t>
      </w:r>
      <w:r w:rsidRPr="00E628A0">
        <w:rPr>
          <w:i/>
          <w:iCs/>
          <w:noProof/>
          <w:szCs w:val="24"/>
        </w:rPr>
        <w:t>48</w:t>
      </w:r>
      <w:r w:rsidRPr="00E628A0">
        <w:rPr>
          <w:noProof/>
          <w:szCs w:val="24"/>
        </w:rPr>
        <w:t>(March), 101590. https://doi.org/10.1016/j.ijdrr.2020.101590</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Janssens, W., Pradhan, M., de Groot, R., Sidze, E., Donfouet, H. P. P., &amp; Abajobir, A. (2021). The short-term economic effects of COVID-19 on low-income households in rural Kenya: An analysis using weekly financial household data. </w:t>
      </w:r>
      <w:r w:rsidRPr="00E628A0">
        <w:rPr>
          <w:i/>
          <w:iCs/>
          <w:noProof/>
          <w:szCs w:val="24"/>
        </w:rPr>
        <w:t>World Development</w:t>
      </w:r>
      <w:r w:rsidRPr="00E628A0">
        <w:rPr>
          <w:noProof/>
          <w:szCs w:val="24"/>
        </w:rPr>
        <w:t xml:space="preserve">, </w:t>
      </w:r>
      <w:r w:rsidRPr="00E628A0">
        <w:rPr>
          <w:i/>
          <w:iCs/>
          <w:noProof/>
          <w:szCs w:val="24"/>
        </w:rPr>
        <w:t>138</w:t>
      </w:r>
      <w:r w:rsidRPr="00E628A0">
        <w:rPr>
          <w:noProof/>
          <w:szCs w:val="24"/>
        </w:rPr>
        <w:t>, 105280. https://doi.org/10.1016/j.worlddev.2020.105280</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Keerthiratne, S., &amp; Tol, R. S. J. (2018). Impact of natural disasters on income inequality in Sri Lanka. </w:t>
      </w:r>
      <w:r w:rsidRPr="00E628A0">
        <w:rPr>
          <w:i/>
          <w:iCs/>
          <w:noProof/>
          <w:szCs w:val="24"/>
        </w:rPr>
        <w:t>World Development</w:t>
      </w:r>
      <w:r w:rsidRPr="00E628A0">
        <w:rPr>
          <w:noProof/>
          <w:szCs w:val="24"/>
        </w:rPr>
        <w:t xml:space="preserve">, </w:t>
      </w:r>
      <w:r w:rsidRPr="00E628A0">
        <w:rPr>
          <w:i/>
          <w:iCs/>
          <w:noProof/>
          <w:szCs w:val="24"/>
        </w:rPr>
        <w:t>105</w:t>
      </w:r>
      <w:r w:rsidRPr="00E628A0">
        <w:rPr>
          <w:noProof/>
          <w:szCs w:val="24"/>
        </w:rPr>
        <w:t>, 217–230. https://doi.org/10.1016/j.worlddev.2018.01.001</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Mankiw. (2014). </w:t>
      </w:r>
      <w:r w:rsidRPr="00E628A0">
        <w:rPr>
          <w:i/>
          <w:iCs/>
          <w:noProof/>
          <w:szCs w:val="24"/>
        </w:rPr>
        <w:t>Internasional Economic</w:t>
      </w:r>
      <w:r w:rsidRPr="00E628A0">
        <w:rPr>
          <w:noProof/>
          <w:szCs w:val="24"/>
        </w:rPr>
        <w:t>.</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OCED. (2020). </w:t>
      </w:r>
      <w:r w:rsidRPr="00E628A0">
        <w:rPr>
          <w:i/>
          <w:iCs/>
          <w:noProof/>
          <w:szCs w:val="24"/>
        </w:rPr>
        <w:t>E-commerce in the times of COVID-19</w:t>
      </w:r>
      <w:r w:rsidRPr="00E628A0">
        <w:rPr>
          <w:noProof/>
          <w:szCs w:val="24"/>
        </w:rPr>
        <w:t xml:space="preserve">. </w:t>
      </w:r>
      <w:r w:rsidRPr="00E628A0">
        <w:rPr>
          <w:i/>
          <w:iCs/>
          <w:noProof/>
          <w:szCs w:val="24"/>
        </w:rPr>
        <w:t>October</w:t>
      </w:r>
      <w:r w:rsidRPr="00E628A0">
        <w:rPr>
          <w:noProof/>
          <w:szCs w:val="24"/>
        </w:rPr>
        <w:t>, 1–10.</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Rosselló, J., Becken, S., &amp; Santana-Gallego, M. (2020). The effects of natural disasters on international tourism: A global analysis. </w:t>
      </w:r>
      <w:r w:rsidRPr="00E628A0">
        <w:rPr>
          <w:i/>
          <w:iCs/>
          <w:noProof/>
          <w:szCs w:val="24"/>
        </w:rPr>
        <w:t>Tourism Management</w:t>
      </w:r>
      <w:r w:rsidRPr="00E628A0">
        <w:rPr>
          <w:noProof/>
          <w:szCs w:val="24"/>
        </w:rPr>
        <w:t xml:space="preserve">, </w:t>
      </w:r>
      <w:r w:rsidRPr="00E628A0">
        <w:rPr>
          <w:i/>
          <w:iCs/>
          <w:noProof/>
          <w:szCs w:val="24"/>
        </w:rPr>
        <w:t>79</w:t>
      </w:r>
      <w:r w:rsidRPr="00E628A0">
        <w:rPr>
          <w:noProof/>
          <w:szCs w:val="24"/>
        </w:rPr>
        <w:t>(December 2019). https://doi.org/10.1016/j.tourman.2020.104080</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Sheth, J. (2020). Impact of Covid-19 on consumer behavior: Will the old habits return or die? </w:t>
      </w:r>
      <w:r w:rsidRPr="00E628A0">
        <w:rPr>
          <w:i/>
          <w:iCs/>
          <w:noProof/>
          <w:szCs w:val="24"/>
        </w:rPr>
        <w:t>Journal of Business Research</w:t>
      </w:r>
      <w:r w:rsidRPr="00E628A0">
        <w:rPr>
          <w:noProof/>
          <w:szCs w:val="24"/>
        </w:rPr>
        <w:t xml:space="preserve">, </w:t>
      </w:r>
      <w:r w:rsidRPr="00E628A0">
        <w:rPr>
          <w:i/>
          <w:iCs/>
          <w:noProof/>
          <w:szCs w:val="24"/>
        </w:rPr>
        <w:t>117</w:t>
      </w:r>
      <w:r w:rsidRPr="00E628A0">
        <w:rPr>
          <w:noProof/>
          <w:szCs w:val="24"/>
        </w:rPr>
        <w:t>, 280–283. https://doi.org/10.1016/j.jbusres.2020.05.059</w:t>
      </w:r>
    </w:p>
    <w:p w:rsidR="00E628A0" w:rsidRPr="00E628A0" w:rsidRDefault="00E628A0" w:rsidP="00E628A0">
      <w:pPr>
        <w:widowControl w:val="0"/>
        <w:autoSpaceDE w:val="0"/>
        <w:autoSpaceDN w:val="0"/>
        <w:adjustRightInd w:val="0"/>
        <w:ind w:left="480" w:hanging="480"/>
        <w:rPr>
          <w:noProof/>
          <w:szCs w:val="24"/>
        </w:rPr>
      </w:pPr>
      <w:r w:rsidRPr="00E628A0">
        <w:rPr>
          <w:noProof/>
          <w:szCs w:val="24"/>
        </w:rPr>
        <w:t xml:space="preserve">Sukirno, S. (2005). Mikroekonomi Teori Pengantar. In </w:t>
      </w:r>
      <w:r w:rsidRPr="00E628A0">
        <w:rPr>
          <w:i/>
          <w:iCs/>
          <w:noProof/>
          <w:szCs w:val="24"/>
        </w:rPr>
        <w:t>Rajawali Pers</w:t>
      </w:r>
      <w:r w:rsidRPr="00E628A0">
        <w:rPr>
          <w:noProof/>
          <w:szCs w:val="24"/>
        </w:rPr>
        <w:t xml:space="preserve"> (Vol. 3, Issue 1). http://dx.doi.org/10.1016/j.appdev.2016.03.001%250Ahttps://www.bertelsmann-stiftung.de/fileadmin/files/BSt/Publikationen/GrauePublikationen/MT_Globalization_Report_2018.pdf%250Ahttp://eprints.lse.ac.uk/43447/1/India_globalisation%252C society and inequali</w:t>
      </w:r>
    </w:p>
    <w:p w:rsidR="00E628A0" w:rsidRPr="00E628A0" w:rsidRDefault="00E628A0" w:rsidP="00E628A0">
      <w:pPr>
        <w:widowControl w:val="0"/>
        <w:autoSpaceDE w:val="0"/>
        <w:autoSpaceDN w:val="0"/>
        <w:adjustRightInd w:val="0"/>
        <w:ind w:left="480" w:hanging="480"/>
        <w:rPr>
          <w:noProof/>
        </w:rPr>
      </w:pPr>
      <w:r w:rsidRPr="00E628A0">
        <w:rPr>
          <w:noProof/>
          <w:szCs w:val="24"/>
        </w:rPr>
        <w:t xml:space="preserve">Todaro, M. P., &amp; Smith, S. C. (2006). </w:t>
      </w:r>
      <w:r w:rsidRPr="00E628A0">
        <w:rPr>
          <w:i/>
          <w:iCs/>
          <w:noProof/>
          <w:szCs w:val="24"/>
        </w:rPr>
        <w:t>Pembangunan Ekonomi Todaro Jilid 2</w:t>
      </w:r>
      <w:r w:rsidRPr="00E628A0">
        <w:rPr>
          <w:noProof/>
          <w:szCs w:val="24"/>
        </w:rPr>
        <w:t>.</w:t>
      </w:r>
    </w:p>
    <w:p w:rsidR="00274BE6" w:rsidRPr="001E02B4" w:rsidRDefault="00213F06" w:rsidP="00E628A0">
      <w:pPr>
        <w:widowControl w:val="0"/>
        <w:autoSpaceDE w:val="0"/>
        <w:autoSpaceDN w:val="0"/>
        <w:adjustRightInd w:val="0"/>
        <w:ind w:left="480" w:hanging="480"/>
        <w:rPr>
          <w:sz w:val="22"/>
        </w:rPr>
      </w:pPr>
      <w:r w:rsidRPr="001E02B4">
        <w:rPr>
          <w:sz w:val="22"/>
        </w:rPr>
        <w:fldChar w:fldCharType="end"/>
      </w:r>
    </w:p>
    <w:sectPr w:rsidR="00274BE6" w:rsidRPr="001E02B4" w:rsidSect="00B17912">
      <w:footerReference w:type="default" r:id="rId11"/>
      <w:pgSz w:w="11907" w:h="16840"/>
      <w:pgMar w:top="2835" w:right="2155" w:bottom="2835" w:left="2155"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AB9" w:rsidRDefault="00380AB9">
      <w:r>
        <w:separator/>
      </w:r>
    </w:p>
  </w:endnote>
  <w:endnote w:type="continuationSeparator" w:id="1">
    <w:p w:rsidR="00380AB9" w:rsidRDefault="00380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BC" w:rsidRDefault="00944ABC">
    <w:pPr>
      <w:jc w:val="both"/>
    </w:pPr>
  </w:p>
  <w:p w:rsidR="00944ABC" w:rsidRDefault="00944ABC">
    <w:pPr>
      <w:jc w:val="both"/>
    </w:pPr>
  </w:p>
  <w:p w:rsidR="00944ABC" w:rsidRDefault="00944ABC">
    <w:pPr>
      <w:jc w:val="both"/>
    </w:pPr>
  </w:p>
  <w:p w:rsidR="00944ABC" w:rsidRDefault="00944ABC">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AB9" w:rsidRDefault="00380AB9">
      <w:r>
        <w:separator/>
      </w:r>
    </w:p>
  </w:footnote>
  <w:footnote w:type="continuationSeparator" w:id="1">
    <w:p w:rsidR="00380AB9" w:rsidRDefault="00380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51BB"/>
    <w:multiLevelType w:val="hybridMultilevel"/>
    <w:tmpl w:val="1ADE19F0"/>
    <w:lvl w:ilvl="0" w:tplc="648E2C9A">
      <w:start w:val="1"/>
      <w:numFmt w:val="decimal"/>
      <w:lvlText w:val="%1."/>
      <w:lvlJc w:val="left"/>
      <w:pPr>
        <w:ind w:left="361" w:hanging="361"/>
        <w:jc w:val="right"/>
      </w:pPr>
      <w:rPr>
        <w:rFonts w:hint="default"/>
        <w:w w:val="100"/>
        <w:lang w:val="en-US" w:eastAsia="en-US" w:bidi="ar-SA"/>
      </w:rPr>
    </w:lvl>
    <w:lvl w:ilvl="1" w:tplc="6AA8159A">
      <w:start w:val="1"/>
      <w:numFmt w:val="decimal"/>
      <w:lvlText w:val="%2."/>
      <w:lvlJc w:val="left"/>
      <w:pPr>
        <w:ind w:left="361" w:hanging="361"/>
      </w:pPr>
      <w:rPr>
        <w:rFonts w:ascii="Times New Roman" w:eastAsia="Times New Roman" w:hAnsi="Times New Roman" w:cs="Times New Roman" w:hint="default"/>
        <w:spacing w:val="-10"/>
        <w:w w:val="99"/>
        <w:sz w:val="24"/>
        <w:szCs w:val="24"/>
        <w:lang w:val="en-US" w:eastAsia="en-US" w:bidi="ar-SA"/>
      </w:rPr>
    </w:lvl>
    <w:lvl w:ilvl="2" w:tplc="08761030">
      <w:numFmt w:val="bullet"/>
      <w:lvlText w:val="•"/>
      <w:lvlJc w:val="left"/>
      <w:pPr>
        <w:ind w:left="1863" w:hanging="361"/>
      </w:pPr>
      <w:rPr>
        <w:rFonts w:hint="default"/>
        <w:lang w:val="en-US" w:eastAsia="en-US" w:bidi="ar-SA"/>
      </w:rPr>
    </w:lvl>
    <w:lvl w:ilvl="3" w:tplc="52A4F698">
      <w:numFmt w:val="bullet"/>
      <w:lvlText w:val="•"/>
      <w:lvlJc w:val="left"/>
      <w:pPr>
        <w:ind w:left="2618" w:hanging="361"/>
      </w:pPr>
      <w:rPr>
        <w:rFonts w:hint="default"/>
        <w:lang w:val="en-US" w:eastAsia="en-US" w:bidi="ar-SA"/>
      </w:rPr>
    </w:lvl>
    <w:lvl w:ilvl="4" w:tplc="BDE45BEA">
      <w:numFmt w:val="bullet"/>
      <w:lvlText w:val="•"/>
      <w:lvlJc w:val="left"/>
      <w:pPr>
        <w:ind w:left="3373" w:hanging="361"/>
      </w:pPr>
      <w:rPr>
        <w:rFonts w:hint="default"/>
        <w:lang w:val="en-US" w:eastAsia="en-US" w:bidi="ar-SA"/>
      </w:rPr>
    </w:lvl>
    <w:lvl w:ilvl="5" w:tplc="A3AEE1F6">
      <w:numFmt w:val="bullet"/>
      <w:lvlText w:val="•"/>
      <w:lvlJc w:val="left"/>
      <w:pPr>
        <w:ind w:left="4128" w:hanging="361"/>
      </w:pPr>
      <w:rPr>
        <w:rFonts w:hint="default"/>
        <w:lang w:val="en-US" w:eastAsia="en-US" w:bidi="ar-SA"/>
      </w:rPr>
    </w:lvl>
    <w:lvl w:ilvl="6" w:tplc="4DCCDA60">
      <w:numFmt w:val="bullet"/>
      <w:lvlText w:val="•"/>
      <w:lvlJc w:val="left"/>
      <w:pPr>
        <w:ind w:left="4883" w:hanging="361"/>
      </w:pPr>
      <w:rPr>
        <w:rFonts w:hint="default"/>
        <w:lang w:val="en-US" w:eastAsia="en-US" w:bidi="ar-SA"/>
      </w:rPr>
    </w:lvl>
    <w:lvl w:ilvl="7" w:tplc="18109CA0">
      <w:numFmt w:val="bullet"/>
      <w:lvlText w:val="•"/>
      <w:lvlJc w:val="left"/>
      <w:pPr>
        <w:ind w:left="5638" w:hanging="361"/>
      </w:pPr>
      <w:rPr>
        <w:rFonts w:hint="default"/>
        <w:lang w:val="en-US" w:eastAsia="en-US" w:bidi="ar-SA"/>
      </w:rPr>
    </w:lvl>
    <w:lvl w:ilvl="8" w:tplc="1276997E">
      <w:numFmt w:val="bullet"/>
      <w:lvlText w:val="•"/>
      <w:lvlJc w:val="left"/>
      <w:pPr>
        <w:ind w:left="6393" w:hanging="361"/>
      </w:pPr>
      <w:rPr>
        <w:rFonts w:hint="default"/>
        <w:lang w:val="en-US" w:eastAsia="en-US" w:bidi="ar-SA"/>
      </w:rPr>
    </w:lvl>
  </w:abstractNum>
  <w:abstractNum w:abstractNumId="1">
    <w:nsid w:val="42D05587"/>
    <w:multiLevelType w:val="multilevel"/>
    <w:tmpl w:val="D214C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7367A"/>
    <w:multiLevelType w:val="hybridMultilevel"/>
    <w:tmpl w:val="610C8778"/>
    <w:lvl w:ilvl="0" w:tplc="9344141E">
      <w:start w:val="1"/>
      <w:numFmt w:val="decimal"/>
      <w:lvlText w:val="%1."/>
      <w:lvlJc w:val="left"/>
      <w:pPr>
        <w:ind w:left="1307" w:hanging="361"/>
      </w:pPr>
      <w:rPr>
        <w:rFonts w:ascii="Times New Roman" w:eastAsia="Times New Roman" w:hAnsi="Times New Roman" w:cs="Times New Roman" w:hint="default"/>
        <w:spacing w:val="-22"/>
        <w:w w:val="99"/>
        <w:sz w:val="24"/>
        <w:szCs w:val="24"/>
        <w:lang w:val="en-US" w:eastAsia="en-US" w:bidi="ar-SA"/>
      </w:rPr>
    </w:lvl>
    <w:lvl w:ilvl="1" w:tplc="2B04BD8E">
      <w:numFmt w:val="bullet"/>
      <w:lvlText w:val="•"/>
      <w:lvlJc w:val="left"/>
      <w:pPr>
        <w:ind w:left="2054" w:hanging="361"/>
      </w:pPr>
      <w:rPr>
        <w:rFonts w:hint="default"/>
        <w:lang w:val="en-US" w:eastAsia="en-US" w:bidi="ar-SA"/>
      </w:rPr>
    </w:lvl>
    <w:lvl w:ilvl="2" w:tplc="7E0AAC4E">
      <w:numFmt w:val="bullet"/>
      <w:lvlText w:val="•"/>
      <w:lvlJc w:val="left"/>
      <w:pPr>
        <w:ind w:left="2809" w:hanging="361"/>
      </w:pPr>
      <w:rPr>
        <w:rFonts w:hint="default"/>
        <w:lang w:val="en-US" w:eastAsia="en-US" w:bidi="ar-SA"/>
      </w:rPr>
    </w:lvl>
    <w:lvl w:ilvl="3" w:tplc="B2562746">
      <w:numFmt w:val="bullet"/>
      <w:lvlText w:val="•"/>
      <w:lvlJc w:val="left"/>
      <w:pPr>
        <w:ind w:left="3564" w:hanging="361"/>
      </w:pPr>
      <w:rPr>
        <w:rFonts w:hint="default"/>
        <w:lang w:val="en-US" w:eastAsia="en-US" w:bidi="ar-SA"/>
      </w:rPr>
    </w:lvl>
    <w:lvl w:ilvl="4" w:tplc="F09C4D06">
      <w:numFmt w:val="bullet"/>
      <w:lvlText w:val="•"/>
      <w:lvlJc w:val="left"/>
      <w:pPr>
        <w:ind w:left="4319" w:hanging="361"/>
      </w:pPr>
      <w:rPr>
        <w:rFonts w:hint="default"/>
        <w:lang w:val="en-US" w:eastAsia="en-US" w:bidi="ar-SA"/>
      </w:rPr>
    </w:lvl>
    <w:lvl w:ilvl="5" w:tplc="631EEDDE">
      <w:numFmt w:val="bullet"/>
      <w:lvlText w:val="•"/>
      <w:lvlJc w:val="left"/>
      <w:pPr>
        <w:ind w:left="5074" w:hanging="361"/>
      </w:pPr>
      <w:rPr>
        <w:rFonts w:hint="default"/>
        <w:lang w:val="en-US" w:eastAsia="en-US" w:bidi="ar-SA"/>
      </w:rPr>
    </w:lvl>
    <w:lvl w:ilvl="6" w:tplc="E382A150">
      <w:numFmt w:val="bullet"/>
      <w:lvlText w:val="•"/>
      <w:lvlJc w:val="left"/>
      <w:pPr>
        <w:ind w:left="5829" w:hanging="361"/>
      </w:pPr>
      <w:rPr>
        <w:rFonts w:hint="default"/>
        <w:lang w:val="en-US" w:eastAsia="en-US" w:bidi="ar-SA"/>
      </w:rPr>
    </w:lvl>
    <w:lvl w:ilvl="7" w:tplc="F9722FD6">
      <w:numFmt w:val="bullet"/>
      <w:lvlText w:val="•"/>
      <w:lvlJc w:val="left"/>
      <w:pPr>
        <w:ind w:left="6584" w:hanging="361"/>
      </w:pPr>
      <w:rPr>
        <w:rFonts w:hint="default"/>
        <w:lang w:val="en-US" w:eastAsia="en-US" w:bidi="ar-SA"/>
      </w:rPr>
    </w:lvl>
    <w:lvl w:ilvl="8" w:tplc="A948D98E">
      <w:numFmt w:val="bullet"/>
      <w:lvlText w:val="•"/>
      <w:lvlJc w:val="left"/>
      <w:pPr>
        <w:ind w:left="7339" w:hanging="361"/>
      </w:pPr>
      <w:rPr>
        <w:rFonts w:hint="default"/>
        <w:lang w:val="en-US" w:eastAsia="en-US" w:bidi="ar-SA"/>
      </w:rPr>
    </w:lvl>
  </w:abstractNum>
  <w:abstractNum w:abstractNumId="3">
    <w:nsid w:val="5F743FD8"/>
    <w:multiLevelType w:val="hybridMultilevel"/>
    <w:tmpl w:val="3F8EAC10"/>
    <w:lvl w:ilvl="0" w:tplc="4DE25004">
      <w:start w:val="1"/>
      <w:numFmt w:val="decimal"/>
      <w:lvlText w:val="%1."/>
      <w:lvlJc w:val="left"/>
      <w:pPr>
        <w:ind w:left="245" w:hanging="245"/>
      </w:pPr>
      <w:rPr>
        <w:rFonts w:ascii="Times New Roman" w:eastAsia="Times New Roman" w:hAnsi="Times New Roman" w:cs="Times New Roman" w:hint="default"/>
        <w:b w:val="0"/>
        <w:bCs/>
        <w:w w:val="100"/>
        <w:sz w:val="24"/>
        <w:szCs w:val="24"/>
        <w:lang w:val="en-US" w:eastAsia="en-US" w:bidi="ar-SA"/>
      </w:rPr>
    </w:lvl>
    <w:lvl w:ilvl="1" w:tplc="5E543750">
      <w:start w:val="1"/>
      <w:numFmt w:val="decimal"/>
      <w:lvlText w:val="%2."/>
      <w:lvlJc w:val="left"/>
      <w:pPr>
        <w:ind w:left="721" w:hanging="361"/>
      </w:pPr>
      <w:rPr>
        <w:rFonts w:ascii="Times New Roman" w:eastAsia="Times New Roman" w:hAnsi="Times New Roman" w:cs="Times New Roman" w:hint="default"/>
        <w:spacing w:val="-10"/>
        <w:w w:val="99"/>
        <w:sz w:val="24"/>
        <w:szCs w:val="24"/>
        <w:lang w:val="en-US" w:eastAsia="en-US" w:bidi="ar-SA"/>
      </w:rPr>
    </w:lvl>
    <w:lvl w:ilvl="2" w:tplc="7682E088">
      <w:numFmt w:val="bullet"/>
      <w:lvlText w:val="•"/>
      <w:lvlJc w:val="left"/>
      <w:pPr>
        <w:ind w:left="1552" w:hanging="361"/>
      </w:pPr>
      <w:rPr>
        <w:rFonts w:hint="default"/>
        <w:lang w:val="en-US" w:eastAsia="en-US" w:bidi="ar-SA"/>
      </w:rPr>
    </w:lvl>
    <w:lvl w:ilvl="3" w:tplc="6652BDD0">
      <w:numFmt w:val="bullet"/>
      <w:lvlText w:val="•"/>
      <w:lvlJc w:val="left"/>
      <w:pPr>
        <w:ind w:left="2391" w:hanging="361"/>
      </w:pPr>
      <w:rPr>
        <w:rFonts w:hint="default"/>
        <w:lang w:val="en-US" w:eastAsia="en-US" w:bidi="ar-SA"/>
      </w:rPr>
    </w:lvl>
    <w:lvl w:ilvl="4" w:tplc="6256D0E6">
      <w:numFmt w:val="bullet"/>
      <w:lvlText w:val="•"/>
      <w:lvlJc w:val="left"/>
      <w:pPr>
        <w:ind w:left="3230" w:hanging="361"/>
      </w:pPr>
      <w:rPr>
        <w:rFonts w:hint="default"/>
        <w:lang w:val="en-US" w:eastAsia="en-US" w:bidi="ar-SA"/>
      </w:rPr>
    </w:lvl>
    <w:lvl w:ilvl="5" w:tplc="AD287A20">
      <w:numFmt w:val="bullet"/>
      <w:lvlText w:val="•"/>
      <w:lvlJc w:val="left"/>
      <w:pPr>
        <w:ind w:left="4069" w:hanging="361"/>
      </w:pPr>
      <w:rPr>
        <w:rFonts w:hint="default"/>
        <w:lang w:val="en-US" w:eastAsia="en-US" w:bidi="ar-SA"/>
      </w:rPr>
    </w:lvl>
    <w:lvl w:ilvl="6" w:tplc="AB5697DA">
      <w:numFmt w:val="bullet"/>
      <w:lvlText w:val="•"/>
      <w:lvlJc w:val="left"/>
      <w:pPr>
        <w:ind w:left="4907" w:hanging="361"/>
      </w:pPr>
      <w:rPr>
        <w:rFonts w:hint="default"/>
        <w:lang w:val="en-US" w:eastAsia="en-US" w:bidi="ar-SA"/>
      </w:rPr>
    </w:lvl>
    <w:lvl w:ilvl="7" w:tplc="1E54CE9A">
      <w:numFmt w:val="bullet"/>
      <w:lvlText w:val="•"/>
      <w:lvlJc w:val="left"/>
      <w:pPr>
        <w:ind w:left="5746" w:hanging="361"/>
      </w:pPr>
      <w:rPr>
        <w:rFonts w:hint="default"/>
        <w:lang w:val="en-US" w:eastAsia="en-US" w:bidi="ar-SA"/>
      </w:rPr>
    </w:lvl>
    <w:lvl w:ilvl="8" w:tplc="720E194C">
      <w:numFmt w:val="bullet"/>
      <w:lvlText w:val="•"/>
      <w:lvlJc w:val="left"/>
      <w:pPr>
        <w:ind w:left="6585" w:hanging="361"/>
      </w:pPr>
      <w:rPr>
        <w:rFonts w:hint="default"/>
        <w:lang w:val="en-US" w:eastAsia="en-US" w:bidi="ar-SA"/>
      </w:rPr>
    </w:lvl>
  </w:abstractNum>
  <w:abstractNum w:abstractNumId="4">
    <w:nsid w:val="63057753"/>
    <w:multiLevelType w:val="hybridMultilevel"/>
    <w:tmpl w:val="CEB0DF04"/>
    <w:lvl w:ilvl="0" w:tplc="648E2C9A">
      <w:start w:val="1"/>
      <w:numFmt w:val="decimal"/>
      <w:lvlText w:val="%1."/>
      <w:lvlJc w:val="left"/>
      <w:pPr>
        <w:ind w:left="361" w:hanging="361"/>
        <w:jc w:val="right"/>
      </w:pPr>
      <w:rPr>
        <w:rFonts w:hint="default"/>
        <w:w w:val="100"/>
        <w:lang w:val="en-US" w:eastAsia="en-US" w:bidi="ar-SA"/>
      </w:rPr>
    </w:lvl>
    <w:lvl w:ilvl="1" w:tplc="6AA8159A">
      <w:start w:val="1"/>
      <w:numFmt w:val="decimal"/>
      <w:lvlText w:val="%2."/>
      <w:lvlJc w:val="left"/>
      <w:pPr>
        <w:ind w:left="361" w:hanging="361"/>
      </w:pPr>
      <w:rPr>
        <w:rFonts w:ascii="Times New Roman" w:eastAsia="Times New Roman" w:hAnsi="Times New Roman" w:cs="Times New Roman" w:hint="default"/>
        <w:spacing w:val="-10"/>
        <w:w w:val="99"/>
        <w:sz w:val="24"/>
        <w:szCs w:val="24"/>
        <w:lang w:val="en-US" w:eastAsia="en-US" w:bidi="ar-SA"/>
      </w:rPr>
    </w:lvl>
    <w:lvl w:ilvl="2" w:tplc="08761030">
      <w:numFmt w:val="bullet"/>
      <w:lvlText w:val="•"/>
      <w:lvlJc w:val="left"/>
      <w:pPr>
        <w:ind w:left="1863" w:hanging="361"/>
      </w:pPr>
      <w:rPr>
        <w:rFonts w:hint="default"/>
        <w:lang w:val="en-US" w:eastAsia="en-US" w:bidi="ar-SA"/>
      </w:rPr>
    </w:lvl>
    <w:lvl w:ilvl="3" w:tplc="52A4F698">
      <w:numFmt w:val="bullet"/>
      <w:lvlText w:val="•"/>
      <w:lvlJc w:val="left"/>
      <w:pPr>
        <w:ind w:left="2618" w:hanging="361"/>
      </w:pPr>
      <w:rPr>
        <w:rFonts w:hint="default"/>
        <w:lang w:val="en-US" w:eastAsia="en-US" w:bidi="ar-SA"/>
      </w:rPr>
    </w:lvl>
    <w:lvl w:ilvl="4" w:tplc="BDE45BEA">
      <w:numFmt w:val="bullet"/>
      <w:lvlText w:val="•"/>
      <w:lvlJc w:val="left"/>
      <w:pPr>
        <w:ind w:left="3373" w:hanging="361"/>
      </w:pPr>
      <w:rPr>
        <w:rFonts w:hint="default"/>
        <w:lang w:val="en-US" w:eastAsia="en-US" w:bidi="ar-SA"/>
      </w:rPr>
    </w:lvl>
    <w:lvl w:ilvl="5" w:tplc="A3AEE1F6">
      <w:numFmt w:val="bullet"/>
      <w:lvlText w:val="•"/>
      <w:lvlJc w:val="left"/>
      <w:pPr>
        <w:ind w:left="4128" w:hanging="361"/>
      </w:pPr>
      <w:rPr>
        <w:rFonts w:hint="default"/>
        <w:lang w:val="en-US" w:eastAsia="en-US" w:bidi="ar-SA"/>
      </w:rPr>
    </w:lvl>
    <w:lvl w:ilvl="6" w:tplc="4DCCDA60">
      <w:numFmt w:val="bullet"/>
      <w:lvlText w:val="•"/>
      <w:lvlJc w:val="left"/>
      <w:pPr>
        <w:ind w:left="4883" w:hanging="361"/>
      </w:pPr>
      <w:rPr>
        <w:rFonts w:hint="default"/>
        <w:lang w:val="en-US" w:eastAsia="en-US" w:bidi="ar-SA"/>
      </w:rPr>
    </w:lvl>
    <w:lvl w:ilvl="7" w:tplc="18109CA0">
      <w:numFmt w:val="bullet"/>
      <w:lvlText w:val="•"/>
      <w:lvlJc w:val="left"/>
      <w:pPr>
        <w:ind w:left="5638" w:hanging="361"/>
      </w:pPr>
      <w:rPr>
        <w:rFonts w:hint="default"/>
        <w:lang w:val="en-US" w:eastAsia="en-US" w:bidi="ar-SA"/>
      </w:rPr>
    </w:lvl>
    <w:lvl w:ilvl="8" w:tplc="1276997E">
      <w:numFmt w:val="bullet"/>
      <w:lvlText w:val="•"/>
      <w:lvlJc w:val="left"/>
      <w:pPr>
        <w:ind w:left="6393" w:hanging="361"/>
      </w:pPr>
      <w:rPr>
        <w:rFonts w:hint="default"/>
        <w:lang w:val="en-US" w:eastAsia="en-US" w:bidi="ar-SA"/>
      </w:rPr>
    </w:lvl>
  </w:abstractNum>
  <w:abstractNum w:abstractNumId="5">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IwtbQ0MTM2NjU0MTVU0lEKTi0uzszPAykwrAUAUJA7RCwAAAA="/>
  </w:docVars>
  <w:rsids>
    <w:rsidRoot w:val="00274BE6"/>
    <w:rsid w:val="00032EC4"/>
    <w:rsid w:val="000461B1"/>
    <w:rsid w:val="0007281D"/>
    <w:rsid w:val="00086E94"/>
    <w:rsid w:val="000A2891"/>
    <w:rsid w:val="000B70BC"/>
    <w:rsid w:val="000C1FA8"/>
    <w:rsid w:val="000C600D"/>
    <w:rsid w:val="000D4723"/>
    <w:rsid w:val="000D5F76"/>
    <w:rsid w:val="0011157D"/>
    <w:rsid w:val="001131AC"/>
    <w:rsid w:val="00156312"/>
    <w:rsid w:val="00157891"/>
    <w:rsid w:val="001636AC"/>
    <w:rsid w:val="00174954"/>
    <w:rsid w:val="00187575"/>
    <w:rsid w:val="001920AD"/>
    <w:rsid w:val="001A5812"/>
    <w:rsid w:val="001B1E4E"/>
    <w:rsid w:val="001B2B2A"/>
    <w:rsid w:val="001E02B4"/>
    <w:rsid w:val="001F148B"/>
    <w:rsid w:val="00213F06"/>
    <w:rsid w:val="00233258"/>
    <w:rsid w:val="00274BE6"/>
    <w:rsid w:val="00295826"/>
    <w:rsid w:val="00295D4E"/>
    <w:rsid w:val="002A74D9"/>
    <w:rsid w:val="00320864"/>
    <w:rsid w:val="0034544A"/>
    <w:rsid w:val="0036716E"/>
    <w:rsid w:val="00380AB9"/>
    <w:rsid w:val="003A4B7B"/>
    <w:rsid w:val="003A4C3A"/>
    <w:rsid w:val="003C0D14"/>
    <w:rsid w:val="004102C7"/>
    <w:rsid w:val="0042530D"/>
    <w:rsid w:val="00425B1F"/>
    <w:rsid w:val="0042758D"/>
    <w:rsid w:val="004279E8"/>
    <w:rsid w:val="00436C84"/>
    <w:rsid w:val="004608E2"/>
    <w:rsid w:val="00472F54"/>
    <w:rsid w:val="0047638F"/>
    <w:rsid w:val="005038C6"/>
    <w:rsid w:val="00570E17"/>
    <w:rsid w:val="005E6119"/>
    <w:rsid w:val="0063006F"/>
    <w:rsid w:val="00633236"/>
    <w:rsid w:val="00634AE2"/>
    <w:rsid w:val="00650399"/>
    <w:rsid w:val="006F477D"/>
    <w:rsid w:val="00717E25"/>
    <w:rsid w:val="0076536F"/>
    <w:rsid w:val="007C06C8"/>
    <w:rsid w:val="007C4623"/>
    <w:rsid w:val="007E6F38"/>
    <w:rsid w:val="008126F2"/>
    <w:rsid w:val="008153B4"/>
    <w:rsid w:val="00824D1D"/>
    <w:rsid w:val="008A595E"/>
    <w:rsid w:val="008C4935"/>
    <w:rsid w:val="008D463C"/>
    <w:rsid w:val="008E5D33"/>
    <w:rsid w:val="0090021A"/>
    <w:rsid w:val="00920E32"/>
    <w:rsid w:val="00923E7E"/>
    <w:rsid w:val="00944ABC"/>
    <w:rsid w:val="00945658"/>
    <w:rsid w:val="009647EE"/>
    <w:rsid w:val="00977570"/>
    <w:rsid w:val="009809A4"/>
    <w:rsid w:val="00994C64"/>
    <w:rsid w:val="009A64E3"/>
    <w:rsid w:val="009B017B"/>
    <w:rsid w:val="009B21A9"/>
    <w:rsid w:val="009C7ED7"/>
    <w:rsid w:val="009E4199"/>
    <w:rsid w:val="00A030BE"/>
    <w:rsid w:val="00A106D0"/>
    <w:rsid w:val="00A11DBB"/>
    <w:rsid w:val="00A1438B"/>
    <w:rsid w:val="00A417FC"/>
    <w:rsid w:val="00A96F65"/>
    <w:rsid w:val="00AF09E9"/>
    <w:rsid w:val="00B0429F"/>
    <w:rsid w:val="00B16235"/>
    <w:rsid w:val="00B17912"/>
    <w:rsid w:val="00B359FC"/>
    <w:rsid w:val="00B35C8E"/>
    <w:rsid w:val="00B41D5A"/>
    <w:rsid w:val="00B423D2"/>
    <w:rsid w:val="00BE5510"/>
    <w:rsid w:val="00C1154A"/>
    <w:rsid w:val="00C11E33"/>
    <w:rsid w:val="00C17FEE"/>
    <w:rsid w:val="00C6476B"/>
    <w:rsid w:val="00C8277C"/>
    <w:rsid w:val="00C8556E"/>
    <w:rsid w:val="00CB4FF1"/>
    <w:rsid w:val="00CE0C56"/>
    <w:rsid w:val="00CE4BB3"/>
    <w:rsid w:val="00D248A3"/>
    <w:rsid w:val="00D56B19"/>
    <w:rsid w:val="00D63C6F"/>
    <w:rsid w:val="00D65028"/>
    <w:rsid w:val="00D85013"/>
    <w:rsid w:val="00DB54A8"/>
    <w:rsid w:val="00DB7A1C"/>
    <w:rsid w:val="00E57E6A"/>
    <w:rsid w:val="00E628A0"/>
    <w:rsid w:val="00EC56B2"/>
    <w:rsid w:val="00EE30CA"/>
    <w:rsid w:val="00EE5ADE"/>
    <w:rsid w:val="00EE72B7"/>
    <w:rsid w:val="00F0568F"/>
    <w:rsid w:val="00F1744E"/>
    <w:rsid w:val="00F22E9E"/>
    <w:rsid w:val="00F56C17"/>
    <w:rsid w:val="00F60277"/>
    <w:rsid w:val="00F75FDF"/>
    <w:rsid w:val="00F9414D"/>
    <w:rsid w:val="00FB3F5F"/>
    <w:rsid w:val="00FC6930"/>
    <w:rsid w:val="00FD0352"/>
    <w:rsid w:val="00FD5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00D"/>
  </w:style>
  <w:style w:type="paragraph" w:styleId="Heading1">
    <w:name w:val="heading 1"/>
    <w:basedOn w:val="Normal"/>
    <w:next w:val="Normal"/>
    <w:rsid w:val="000C600D"/>
    <w:pPr>
      <w:keepNext/>
      <w:keepLines/>
      <w:spacing w:before="480" w:after="120"/>
      <w:contextualSpacing/>
      <w:outlineLvl w:val="0"/>
    </w:pPr>
    <w:rPr>
      <w:b/>
      <w:sz w:val="48"/>
      <w:szCs w:val="48"/>
    </w:rPr>
  </w:style>
  <w:style w:type="paragraph" w:styleId="Heading2">
    <w:name w:val="heading 2"/>
    <w:basedOn w:val="Normal"/>
    <w:next w:val="Normal"/>
    <w:rsid w:val="000C600D"/>
    <w:pPr>
      <w:keepNext/>
      <w:keepLines/>
      <w:spacing w:before="360" w:after="80"/>
      <w:contextualSpacing/>
      <w:outlineLvl w:val="1"/>
    </w:pPr>
    <w:rPr>
      <w:b/>
      <w:sz w:val="36"/>
      <w:szCs w:val="36"/>
    </w:rPr>
  </w:style>
  <w:style w:type="paragraph" w:styleId="Heading3">
    <w:name w:val="heading 3"/>
    <w:basedOn w:val="Normal"/>
    <w:next w:val="Normal"/>
    <w:rsid w:val="000C600D"/>
    <w:pPr>
      <w:keepNext/>
      <w:keepLines/>
      <w:spacing w:before="280" w:after="80"/>
      <w:contextualSpacing/>
      <w:outlineLvl w:val="2"/>
    </w:pPr>
    <w:rPr>
      <w:b/>
      <w:sz w:val="28"/>
      <w:szCs w:val="28"/>
    </w:rPr>
  </w:style>
  <w:style w:type="paragraph" w:styleId="Heading4">
    <w:name w:val="heading 4"/>
    <w:basedOn w:val="Normal"/>
    <w:next w:val="Normal"/>
    <w:rsid w:val="000C600D"/>
    <w:pPr>
      <w:keepNext/>
      <w:keepLines/>
      <w:spacing w:before="240" w:after="40"/>
      <w:contextualSpacing/>
      <w:outlineLvl w:val="3"/>
    </w:pPr>
    <w:rPr>
      <w:b/>
      <w:sz w:val="24"/>
      <w:szCs w:val="24"/>
    </w:rPr>
  </w:style>
  <w:style w:type="paragraph" w:styleId="Heading5">
    <w:name w:val="heading 5"/>
    <w:basedOn w:val="Normal"/>
    <w:next w:val="Normal"/>
    <w:rsid w:val="000C600D"/>
    <w:pPr>
      <w:keepNext/>
      <w:keepLines/>
      <w:spacing w:before="220" w:after="40"/>
      <w:contextualSpacing/>
      <w:outlineLvl w:val="4"/>
    </w:pPr>
    <w:rPr>
      <w:b/>
      <w:sz w:val="22"/>
      <w:szCs w:val="22"/>
    </w:rPr>
  </w:style>
  <w:style w:type="paragraph" w:styleId="Heading6">
    <w:name w:val="heading 6"/>
    <w:basedOn w:val="Normal"/>
    <w:next w:val="Normal"/>
    <w:rsid w:val="000C600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C600D"/>
    <w:pPr>
      <w:keepNext/>
      <w:keepLines/>
      <w:spacing w:before="480" w:after="120"/>
      <w:contextualSpacing/>
    </w:pPr>
    <w:rPr>
      <w:b/>
      <w:sz w:val="72"/>
      <w:szCs w:val="72"/>
    </w:rPr>
  </w:style>
  <w:style w:type="paragraph" w:styleId="Subtitle">
    <w:name w:val="Subtitle"/>
    <w:basedOn w:val="Normal"/>
    <w:next w:val="Normal"/>
    <w:rsid w:val="000C600D"/>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0C600D"/>
    <w:tblPr>
      <w:tblStyleRowBandSize w:val="1"/>
      <w:tblStyleColBandSize w:val="1"/>
      <w:tblInd w:w="0" w:type="dxa"/>
      <w:tblCellMar>
        <w:top w:w="0" w:type="dxa"/>
        <w:left w:w="70" w:type="dxa"/>
        <w:bottom w:w="0" w:type="dxa"/>
        <w:right w:w="70" w:type="dxa"/>
      </w:tblCellMar>
    </w:tblPr>
  </w:style>
  <w:style w:type="table" w:customStyle="1" w:styleId="1">
    <w:name w:val="1"/>
    <w:basedOn w:val="TableNormal"/>
    <w:rsid w:val="000C600D"/>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F56C17"/>
    <w:rPr>
      <w:rFonts w:ascii="Tahoma" w:hAnsi="Tahoma" w:cs="Tahoma"/>
      <w:sz w:val="16"/>
      <w:szCs w:val="16"/>
    </w:rPr>
  </w:style>
  <w:style w:type="character" w:customStyle="1" w:styleId="BalloonTextChar">
    <w:name w:val="Balloon Text Char"/>
    <w:basedOn w:val="DefaultParagraphFont"/>
    <w:link w:val="BalloonText"/>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 w:type="paragraph" w:styleId="HTMLPreformatted">
    <w:name w:val="HTML Preformatted"/>
    <w:basedOn w:val="Normal"/>
    <w:link w:val="HTMLPreformattedChar"/>
    <w:uiPriority w:val="99"/>
    <w:semiHidden/>
    <w:unhideWhenUsed/>
    <w:rsid w:val="003A4C3A"/>
    <w:rPr>
      <w:rFonts w:ascii="Consolas" w:hAnsi="Consolas" w:cs="Consolas"/>
    </w:rPr>
  </w:style>
  <w:style w:type="character" w:customStyle="1" w:styleId="HTMLPreformattedChar">
    <w:name w:val="HTML Preformatted Char"/>
    <w:basedOn w:val="DefaultParagraphFont"/>
    <w:link w:val="HTMLPreformatted"/>
    <w:uiPriority w:val="99"/>
    <w:semiHidden/>
    <w:rsid w:val="003A4C3A"/>
    <w:rPr>
      <w:rFonts w:ascii="Consolas" w:hAnsi="Consolas" w:cs="Consolas"/>
    </w:rPr>
  </w:style>
  <w:style w:type="character" w:styleId="Hyperlink">
    <w:name w:val="Hyperlink"/>
    <w:basedOn w:val="DefaultParagraphFont"/>
    <w:uiPriority w:val="99"/>
    <w:unhideWhenUsed/>
    <w:rsid w:val="008126F2"/>
    <w:rPr>
      <w:color w:val="0563C1" w:themeColor="hyperlink"/>
      <w:u w:val="single"/>
    </w:rPr>
  </w:style>
  <w:style w:type="paragraph" w:styleId="BodyText">
    <w:name w:val="Body Text"/>
    <w:basedOn w:val="Normal"/>
    <w:link w:val="BodyTextChar"/>
    <w:uiPriority w:val="99"/>
    <w:semiHidden/>
    <w:unhideWhenUsed/>
    <w:rsid w:val="00C8556E"/>
    <w:pPr>
      <w:spacing w:after="120"/>
    </w:pPr>
  </w:style>
  <w:style w:type="character" w:customStyle="1" w:styleId="BodyTextChar">
    <w:name w:val="Body Text Char"/>
    <w:basedOn w:val="DefaultParagraphFont"/>
    <w:link w:val="BodyText"/>
    <w:uiPriority w:val="99"/>
    <w:semiHidden/>
    <w:rsid w:val="00C8556E"/>
  </w:style>
  <w:style w:type="character" w:customStyle="1" w:styleId="UnresolvedMention">
    <w:name w:val="Unresolved Mention"/>
    <w:basedOn w:val="DefaultParagraphFont"/>
    <w:uiPriority w:val="99"/>
    <w:semiHidden/>
    <w:unhideWhenUsed/>
    <w:rsid w:val="006332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766185">
      <w:bodyDiv w:val="1"/>
      <w:marLeft w:val="0"/>
      <w:marRight w:val="0"/>
      <w:marTop w:val="0"/>
      <w:marBottom w:val="0"/>
      <w:divBdr>
        <w:top w:val="none" w:sz="0" w:space="0" w:color="auto"/>
        <w:left w:val="none" w:sz="0" w:space="0" w:color="auto"/>
        <w:bottom w:val="none" w:sz="0" w:space="0" w:color="auto"/>
        <w:right w:val="none" w:sz="0" w:space="0" w:color="auto"/>
      </w:divBdr>
    </w:div>
    <w:div w:id="153181611">
      <w:bodyDiv w:val="1"/>
      <w:marLeft w:val="0"/>
      <w:marRight w:val="0"/>
      <w:marTop w:val="0"/>
      <w:marBottom w:val="0"/>
      <w:divBdr>
        <w:top w:val="none" w:sz="0" w:space="0" w:color="auto"/>
        <w:left w:val="none" w:sz="0" w:space="0" w:color="auto"/>
        <w:bottom w:val="none" w:sz="0" w:space="0" w:color="auto"/>
        <w:right w:val="none" w:sz="0" w:space="0" w:color="auto"/>
      </w:divBdr>
    </w:div>
    <w:div w:id="172455043">
      <w:bodyDiv w:val="1"/>
      <w:marLeft w:val="0"/>
      <w:marRight w:val="0"/>
      <w:marTop w:val="0"/>
      <w:marBottom w:val="0"/>
      <w:divBdr>
        <w:top w:val="none" w:sz="0" w:space="0" w:color="auto"/>
        <w:left w:val="none" w:sz="0" w:space="0" w:color="auto"/>
        <w:bottom w:val="none" w:sz="0" w:space="0" w:color="auto"/>
        <w:right w:val="none" w:sz="0" w:space="0" w:color="auto"/>
      </w:divBdr>
    </w:div>
    <w:div w:id="190345833">
      <w:bodyDiv w:val="1"/>
      <w:marLeft w:val="0"/>
      <w:marRight w:val="0"/>
      <w:marTop w:val="0"/>
      <w:marBottom w:val="0"/>
      <w:divBdr>
        <w:top w:val="none" w:sz="0" w:space="0" w:color="auto"/>
        <w:left w:val="none" w:sz="0" w:space="0" w:color="auto"/>
        <w:bottom w:val="none" w:sz="0" w:space="0" w:color="auto"/>
        <w:right w:val="none" w:sz="0" w:space="0" w:color="auto"/>
      </w:divBdr>
    </w:div>
    <w:div w:id="222175928">
      <w:bodyDiv w:val="1"/>
      <w:marLeft w:val="0"/>
      <w:marRight w:val="0"/>
      <w:marTop w:val="0"/>
      <w:marBottom w:val="0"/>
      <w:divBdr>
        <w:top w:val="none" w:sz="0" w:space="0" w:color="auto"/>
        <w:left w:val="none" w:sz="0" w:space="0" w:color="auto"/>
        <w:bottom w:val="none" w:sz="0" w:space="0" w:color="auto"/>
        <w:right w:val="none" w:sz="0" w:space="0" w:color="auto"/>
      </w:divBdr>
    </w:div>
    <w:div w:id="231280473">
      <w:bodyDiv w:val="1"/>
      <w:marLeft w:val="0"/>
      <w:marRight w:val="0"/>
      <w:marTop w:val="0"/>
      <w:marBottom w:val="0"/>
      <w:divBdr>
        <w:top w:val="none" w:sz="0" w:space="0" w:color="auto"/>
        <w:left w:val="none" w:sz="0" w:space="0" w:color="auto"/>
        <w:bottom w:val="none" w:sz="0" w:space="0" w:color="auto"/>
        <w:right w:val="none" w:sz="0" w:space="0" w:color="auto"/>
      </w:divBdr>
    </w:div>
    <w:div w:id="238488261">
      <w:bodyDiv w:val="1"/>
      <w:marLeft w:val="0"/>
      <w:marRight w:val="0"/>
      <w:marTop w:val="0"/>
      <w:marBottom w:val="0"/>
      <w:divBdr>
        <w:top w:val="none" w:sz="0" w:space="0" w:color="auto"/>
        <w:left w:val="none" w:sz="0" w:space="0" w:color="auto"/>
        <w:bottom w:val="none" w:sz="0" w:space="0" w:color="auto"/>
        <w:right w:val="none" w:sz="0" w:space="0" w:color="auto"/>
      </w:divBdr>
    </w:div>
    <w:div w:id="280452513">
      <w:bodyDiv w:val="1"/>
      <w:marLeft w:val="0"/>
      <w:marRight w:val="0"/>
      <w:marTop w:val="0"/>
      <w:marBottom w:val="0"/>
      <w:divBdr>
        <w:top w:val="none" w:sz="0" w:space="0" w:color="auto"/>
        <w:left w:val="none" w:sz="0" w:space="0" w:color="auto"/>
        <w:bottom w:val="none" w:sz="0" w:space="0" w:color="auto"/>
        <w:right w:val="none" w:sz="0" w:space="0" w:color="auto"/>
      </w:divBdr>
    </w:div>
    <w:div w:id="331612691">
      <w:bodyDiv w:val="1"/>
      <w:marLeft w:val="0"/>
      <w:marRight w:val="0"/>
      <w:marTop w:val="0"/>
      <w:marBottom w:val="0"/>
      <w:divBdr>
        <w:top w:val="none" w:sz="0" w:space="0" w:color="auto"/>
        <w:left w:val="none" w:sz="0" w:space="0" w:color="auto"/>
        <w:bottom w:val="none" w:sz="0" w:space="0" w:color="auto"/>
        <w:right w:val="none" w:sz="0" w:space="0" w:color="auto"/>
      </w:divBdr>
    </w:div>
    <w:div w:id="350379057">
      <w:bodyDiv w:val="1"/>
      <w:marLeft w:val="0"/>
      <w:marRight w:val="0"/>
      <w:marTop w:val="0"/>
      <w:marBottom w:val="0"/>
      <w:divBdr>
        <w:top w:val="none" w:sz="0" w:space="0" w:color="auto"/>
        <w:left w:val="none" w:sz="0" w:space="0" w:color="auto"/>
        <w:bottom w:val="none" w:sz="0" w:space="0" w:color="auto"/>
        <w:right w:val="none" w:sz="0" w:space="0" w:color="auto"/>
      </w:divBdr>
    </w:div>
    <w:div w:id="365563278">
      <w:bodyDiv w:val="1"/>
      <w:marLeft w:val="0"/>
      <w:marRight w:val="0"/>
      <w:marTop w:val="0"/>
      <w:marBottom w:val="0"/>
      <w:divBdr>
        <w:top w:val="none" w:sz="0" w:space="0" w:color="auto"/>
        <w:left w:val="none" w:sz="0" w:space="0" w:color="auto"/>
        <w:bottom w:val="none" w:sz="0" w:space="0" w:color="auto"/>
        <w:right w:val="none" w:sz="0" w:space="0" w:color="auto"/>
      </w:divBdr>
    </w:div>
    <w:div w:id="371922254">
      <w:bodyDiv w:val="1"/>
      <w:marLeft w:val="0"/>
      <w:marRight w:val="0"/>
      <w:marTop w:val="0"/>
      <w:marBottom w:val="0"/>
      <w:divBdr>
        <w:top w:val="none" w:sz="0" w:space="0" w:color="auto"/>
        <w:left w:val="none" w:sz="0" w:space="0" w:color="auto"/>
        <w:bottom w:val="none" w:sz="0" w:space="0" w:color="auto"/>
        <w:right w:val="none" w:sz="0" w:space="0" w:color="auto"/>
      </w:divBdr>
    </w:div>
    <w:div w:id="396364496">
      <w:bodyDiv w:val="1"/>
      <w:marLeft w:val="0"/>
      <w:marRight w:val="0"/>
      <w:marTop w:val="0"/>
      <w:marBottom w:val="0"/>
      <w:divBdr>
        <w:top w:val="none" w:sz="0" w:space="0" w:color="auto"/>
        <w:left w:val="none" w:sz="0" w:space="0" w:color="auto"/>
        <w:bottom w:val="none" w:sz="0" w:space="0" w:color="auto"/>
        <w:right w:val="none" w:sz="0" w:space="0" w:color="auto"/>
      </w:divBdr>
    </w:div>
    <w:div w:id="407075155">
      <w:bodyDiv w:val="1"/>
      <w:marLeft w:val="0"/>
      <w:marRight w:val="0"/>
      <w:marTop w:val="0"/>
      <w:marBottom w:val="0"/>
      <w:divBdr>
        <w:top w:val="none" w:sz="0" w:space="0" w:color="auto"/>
        <w:left w:val="none" w:sz="0" w:space="0" w:color="auto"/>
        <w:bottom w:val="none" w:sz="0" w:space="0" w:color="auto"/>
        <w:right w:val="none" w:sz="0" w:space="0" w:color="auto"/>
      </w:divBdr>
    </w:div>
    <w:div w:id="516583365">
      <w:bodyDiv w:val="1"/>
      <w:marLeft w:val="0"/>
      <w:marRight w:val="0"/>
      <w:marTop w:val="0"/>
      <w:marBottom w:val="0"/>
      <w:divBdr>
        <w:top w:val="none" w:sz="0" w:space="0" w:color="auto"/>
        <w:left w:val="none" w:sz="0" w:space="0" w:color="auto"/>
        <w:bottom w:val="none" w:sz="0" w:space="0" w:color="auto"/>
        <w:right w:val="none" w:sz="0" w:space="0" w:color="auto"/>
      </w:divBdr>
    </w:div>
    <w:div w:id="607392592">
      <w:bodyDiv w:val="1"/>
      <w:marLeft w:val="0"/>
      <w:marRight w:val="0"/>
      <w:marTop w:val="0"/>
      <w:marBottom w:val="0"/>
      <w:divBdr>
        <w:top w:val="none" w:sz="0" w:space="0" w:color="auto"/>
        <w:left w:val="none" w:sz="0" w:space="0" w:color="auto"/>
        <w:bottom w:val="none" w:sz="0" w:space="0" w:color="auto"/>
        <w:right w:val="none" w:sz="0" w:space="0" w:color="auto"/>
      </w:divBdr>
    </w:div>
    <w:div w:id="637689604">
      <w:bodyDiv w:val="1"/>
      <w:marLeft w:val="0"/>
      <w:marRight w:val="0"/>
      <w:marTop w:val="0"/>
      <w:marBottom w:val="0"/>
      <w:divBdr>
        <w:top w:val="none" w:sz="0" w:space="0" w:color="auto"/>
        <w:left w:val="none" w:sz="0" w:space="0" w:color="auto"/>
        <w:bottom w:val="none" w:sz="0" w:space="0" w:color="auto"/>
        <w:right w:val="none" w:sz="0" w:space="0" w:color="auto"/>
      </w:divBdr>
    </w:div>
    <w:div w:id="644546654">
      <w:bodyDiv w:val="1"/>
      <w:marLeft w:val="0"/>
      <w:marRight w:val="0"/>
      <w:marTop w:val="0"/>
      <w:marBottom w:val="0"/>
      <w:divBdr>
        <w:top w:val="none" w:sz="0" w:space="0" w:color="auto"/>
        <w:left w:val="none" w:sz="0" w:space="0" w:color="auto"/>
        <w:bottom w:val="none" w:sz="0" w:space="0" w:color="auto"/>
        <w:right w:val="none" w:sz="0" w:space="0" w:color="auto"/>
      </w:divBdr>
    </w:div>
    <w:div w:id="655652325">
      <w:bodyDiv w:val="1"/>
      <w:marLeft w:val="0"/>
      <w:marRight w:val="0"/>
      <w:marTop w:val="0"/>
      <w:marBottom w:val="0"/>
      <w:divBdr>
        <w:top w:val="none" w:sz="0" w:space="0" w:color="auto"/>
        <w:left w:val="none" w:sz="0" w:space="0" w:color="auto"/>
        <w:bottom w:val="none" w:sz="0" w:space="0" w:color="auto"/>
        <w:right w:val="none" w:sz="0" w:space="0" w:color="auto"/>
      </w:divBdr>
    </w:div>
    <w:div w:id="667634392">
      <w:bodyDiv w:val="1"/>
      <w:marLeft w:val="0"/>
      <w:marRight w:val="0"/>
      <w:marTop w:val="0"/>
      <w:marBottom w:val="0"/>
      <w:divBdr>
        <w:top w:val="none" w:sz="0" w:space="0" w:color="auto"/>
        <w:left w:val="none" w:sz="0" w:space="0" w:color="auto"/>
        <w:bottom w:val="none" w:sz="0" w:space="0" w:color="auto"/>
        <w:right w:val="none" w:sz="0" w:space="0" w:color="auto"/>
      </w:divBdr>
    </w:div>
    <w:div w:id="676923718">
      <w:bodyDiv w:val="1"/>
      <w:marLeft w:val="0"/>
      <w:marRight w:val="0"/>
      <w:marTop w:val="0"/>
      <w:marBottom w:val="0"/>
      <w:divBdr>
        <w:top w:val="none" w:sz="0" w:space="0" w:color="auto"/>
        <w:left w:val="none" w:sz="0" w:space="0" w:color="auto"/>
        <w:bottom w:val="none" w:sz="0" w:space="0" w:color="auto"/>
        <w:right w:val="none" w:sz="0" w:space="0" w:color="auto"/>
      </w:divBdr>
    </w:div>
    <w:div w:id="735130260">
      <w:bodyDiv w:val="1"/>
      <w:marLeft w:val="0"/>
      <w:marRight w:val="0"/>
      <w:marTop w:val="0"/>
      <w:marBottom w:val="0"/>
      <w:divBdr>
        <w:top w:val="none" w:sz="0" w:space="0" w:color="auto"/>
        <w:left w:val="none" w:sz="0" w:space="0" w:color="auto"/>
        <w:bottom w:val="none" w:sz="0" w:space="0" w:color="auto"/>
        <w:right w:val="none" w:sz="0" w:space="0" w:color="auto"/>
      </w:divBdr>
    </w:div>
    <w:div w:id="744960345">
      <w:bodyDiv w:val="1"/>
      <w:marLeft w:val="0"/>
      <w:marRight w:val="0"/>
      <w:marTop w:val="0"/>
      <w:marBottom w:val="0"/>
      <w:divBdr>
        <w:top w:val="none" w:sz="0" w:space="0" w:color="auto"/>
        <w:left w:val="none" w:sz="0" w:space="0" w:color="auto"/>
        <w:bottom w:val="none" w:sz="0" w:space="0" w:color="auto"/>
        <w:right w:val="none" w:sz="0" w:space="0" w:color="auto"/>
      </w:divBdr>
    </w:div>
    <w:div w:id="751201915">
      <w:bodyDiv w:val="1"/>
      <w:marLeft w:val="0"/>
      <w:marRight w:val="0"/>
      <w:marTop w:val="0"/>
      <w:marBottom w:val="0"/>
      <w:divBdr>
        <w:top w:val="none" w:sz="0" w:space="0" w:color="auto"/>
        <w:left w:val="none" w:sz="0" w:space="0" w:color="auto"/>
        <w:bottom w:val="none" w:sz="0" w:space="0" w:color="auto"/>
        <w:right w:val="none" w:sz="0" w:space="0" w:color="auto"/>
      </w:divBdr>
    </w:div>
    <w:div w:id="934243192">
      <w:bodyDiv w:val="1"/>
      <w:marLeft w:val="0"/>
      <w:marRight w:val="0"/>
      <w:marTop w:val="0"/>
      <w:marBottom w:val="0"/>
      <w:divBdr>
        <w:top w:val="none" w:sz="0" w:space="0" w:color="auto"/>
        <w:left w:val="none" w:sz="0" w:space="0" w:color="auto"/>
        <w:bottom w:val="none" w:sz="0" w:space="0" w:color="auto"/>
        <w:right w:val="none" w:sz="0" w:space="0" w:color="auto"/>
      </w:divBdr>
    </w:div>
    <w:div w:id="963191964">
      <w:bodyDiv w:val="1"/>
      <w:marLeft w:val="0"/>
      <w:marRight w:val="0"/>
      <w:marTop w:val="0"/>
      <w:marBottom w:val="0"/>
      <w:divBdr>
        <w:top w:val="none" w:sz="0" w:space="0" w:color="auto"/>
        <w:left w:val="none" w:sz="0" w:space="0" w:color="auto"/>
        <w:bottom w:val="none" w:sz="0" w:space="0" w:color="auto"/>
        <w:right w:val="none" w:sz="0" w:space="0" w:color="auto"/>
      </w:divBdr>
    </w:div>
    <w:div w:id="989334349">
      <w:bodyDiv w:val="1"/>
      <w:marLeft w:val="0"/>
      <w:marRight w:val="0"/>
      <w:marTop w:val="0"/>
      <w:marBottom w:val="0"/>
      <w:divBdr>
        <w:top w:val="none" w:sz="0" w:space="0" w:color="auto"/>
        <w:left w:val="none" w:sz="0" w:space="0" w:color="auto"/>
        <w:bottom w:val="none" w:sz="0" w:space="0" w:color="auto"/>
        <w:right w:val="none" w:sz="0" w:space="0" w:color="auto"/>
      </w:divBdr>
    </w:div>
    <w:div w:id="1008874667">
      <w:bodyDiv w:val="1"/>
      <w:marLeft w:val="0"/>
      <w:marRight w:val="0"/>
      <w:marTop w:val="0"/>
      <w:marBottom w:val="0"/>
      <w:divBdr>
        <w:top w:val="none" w:sz="0" w:space="0" w:color="auto"/>
        <w:left w:val="none" w:sz="0" w:space="0" w:color="auto"/>
        <w:bottom w:val="none" w:sz="0" w:space="0" w:color="auto"/>
        <w:right w:val="none" w:sz="0" w:space="0" w:color="auto"/>
      </w:divBdr>
    </w:div>
    <w:div w:id="1013145014">
      <w:bodyDiv w:val="1"/>
      <w:marLeft w:val="0"/>
      <w:marRight w:val="0"/>
      <w:marTop w:val="0"/>
      <w:marBottom w:val="0"/>
      <w:divBdr>
        <w:top w:val="none" w:sz="0" w:space="0" w:color="auto"/>
        <w:left w:val="none" w:sz="0" w:space="0" w:color="auto"/>
        <w:bottom w:val="none" w:sz="0" w:space="0" w:color="auto"/>
        <w:right w:val="none" w:sz="0" w:space="0" w:color="auto"/>
      </w:divBdr>
    </w:div>
    <w:div w:id="1036467255">
      <w:bodyDiv w:val="1"/>
      <w:marLeft w:val="0"/>
      <w:marRight w:val="0"/>
      <w:marTop w:val="0"/>
      <w:marBottom w:val="0"/>
      <w:divBdr>
        <w:top w:val="none" w:sz="0" w:space="0" w:color="auto"/>
        <w:left w:val="none" w:sz="0" w:space="0" w:color="auto"/>
        <w:bottom w:val="none" w:sz="0" w:space="0" w:color="auto"/>
        <w:right w:val="none" w:sz="0" w:space="0" w:color="auto"/>
      </w:divBdr>
    </w:div>
    <w:div w:id="1058169896">
      <w:bodyDiv w:val="1"/>
      <w:marLeft w:val="0"/>
      <w:marRight w:val="0"/>
      <w:marTop w:val="0"/>
      <w:marBottom w:val="0"/>
      <w:divBdr>
        <w:top w:val="none" w:sz="0" w:space="0" w:color="auto"/>
        <w:left w:val="none" w:sz="0" w:space="0" w:color="auto"/>
        <w:bottom w:val="none" w:sz="0" w:space="0" w:color="auto"/>
        <w:right w:val="none" w:sz="0" w:space="0" w:color="auto"/>
      </w:divBdr>
    </w:div>
    <w:div w:id="1069034395">
      <w:bodyDiv w:val="1"/>
      <w:marLeft w:val="0"/>
      <w:marRight w:val="0"/>
      <w:marTop w:val="0"/>
      <w:marBottom w:val="0"/>
      <w:divBdr>
        <w:top w:val="none" w:sz="0" w:space="0" w:color="auto"/>
        <w:left w:val="none" w:sz="0" w:space="0" w:color="auto"/>
        <w:bottom w:val="none" w:sz="0" w:space="0" w:color="auto"/>
        <w:right w:val="none" w:sz="0" w:space="0" w:color="auto"/>
      </w:divBdr>
    </w:div>
    <w:div w:id="1120607649">
      <w:bodyDiv w:val="1"/>
      <w:marLeft w:val="0"/>
      <w:marRight w:val="0"/>
      <w:marTop w:val="0"/>
      <w:marBottom w:val="0"/>
      <w:divBdr>
        <w:top w:val="none" w:sz="0" w:space="0" w:color="auto"/>
        <w:left w:val="none" w:sz="0" w:space="0" w:color="auto"/>
        <w:bottom w:val="none" w:sz="0" w:space="0" w:color="auto"/>
        <w:right w:val="none" w:sz="0" w:space="0" w:color="auto"/>
      </w:divBdr>
    </w:div>
    <w:div w:id="1162889865">
      <w:bodyDiv w:val="1"/>
      <w:marLeft w:val="0"/>
      <w:marRight w:val="0"/>
      <w:marTop w:val="0"/>
      <w:marBottom w:val="0"/>
      <w:divBdr>
        <w:top w:val="none" w:sz="0" w:space="0" w:color="auto"/>
        <w:left w:val="none" w:sz="0" w:space="0" w:color="auto"/>
        <w:bottom w:val="none" w:sz="0" w:space="0" w:color="auto"/>
        <w:right w:val="none" w:sz="0" w:space="0" w:color="auto"/>
      </w:divBdr>
    </w:div>
    <w:div w:id="1166900585">
      <w:bodyDiv w:val="1"/>
      <w:marLeft w:val="0"/>
      <w:marRight w:val="0"/>
      <w:marTop w:val="0"/>
      <w:marBottom w:val="0"/>
      <w:divBdr>
        <w:top w:val="none" w:sz="0" w:space="0" w:color="auto"/>
        <w:left w:val="none" w:sz="0" w:space="0" w:color="auto"/>
        <w:bottom w:val="none" w:sz="0" w:space="0" w:color="auto"/>
        <w:right w:val="none" w:sz="0" w:space="0" w:color="auto"/>
      </w:divBdr>
      <w:divsChild>
        <w:div w:id="1005324265">
          <w:marLeft w:val="0"/>
          <w:marRight w:val="0"/>
          <w:marTop w:val="0"/>
          <w:marBottom w:val="0"/>
          <w:divBdr>
            <w:top w:val="none" w:sz="0" w:space="0" w:color="auto"/>
            <w:left w:val="none" w:sz="0" w:space="0" w:color="auto"/>
            <w:bottom w:val="none" w:sz="0" w:space="0" w:color="auto"/>
            <w:right w:val="none" w:sz="0" w:space="0" w:color="auto"/>
          </w:divBdr>
        </w:div>
        <w:div w:id="200542963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61524555">
      <w:bodyDiv w:val="1"/>
      <w:marLeft w:val="0"/>
      <w:marRight w:val="0"/>
      <w:marTop w:val="0"/>
      <w:marBottom w:val="0"/>
      <w:divBdr>
        <w:top w:val="none" w:sz="0" w:space="0" w:color="auto"/>
        <w:left w:val="none" w:sz="0" w:space="0" w:color="auto"/>
        <w:bottom w:val="none" w:sz="0" w:space="0" w:color="auto"/>
        <w:right w:val="none" w:sz="0" w:space="0" w:color="auto"/>
      </w:divBdr>
    </w:div>
    <w:div w:id="1299993882">
      <w:bodyDiv w:val="1"/>
      <w:marLeft w:val="0"/>
      <w:marRight w:val="0"/>
      <w:marTop w:val="0"/>
      <w:marBottom w:val="0"/>
      <w:divBdr>
        <w:top w:val="none" w:sz="0" w:space="0" w:color="auto"/>
        <w:left w:val="none" w:sz="0" w:space="0" w:color="auto"/>
        <w:bottom w:val="none" w:sz="0" w:space="0" w:color="auto"/>
        <w:right w:val="none" w:sz="0" w:space="0" w:color="auto"/>
      </w:divBdr>
    </w:div>
    <w:div w:id="1324361282">
      <w:bodyDiv w:val="1"/>
      <w:marLeft w:val="0"/>
      <w:marRight w:val="0"/>
      <w:marTop w:val="0"/>
      <w:marBottom w:val="0"/>
      <w:divBdr>
        <w:top w:val="none" w:sz="0" w:space="0" w:color="auto"/>
        <w:left w:val="none" w:sz="0" w:space="0" w:color="auto"/>
        <w:bottom w:val="none" w:sz="0" w:space="0" w:color="auto"/>
        <w:right w:val="none" w:sz="0" w:space="0" w:color="auto"/>
      </w:divBdr>
    </w:div>
    <w:div w:id="1329862642">
      <w:bodyDiv w:val="1"/>
      <w:marLeft w:val="0"/>
      <w:marRight w:val="0"/>
      <w:marTop w:val="0"/>
      <w:marBottom w:val="0"/>
      <w:divBdr>
        <w:top w:val="none" w:sz="0" w:space="0" w:color="auto"/>
        <w:left w:val="none" w:sz="0" w:space="0" w:color="auto"/>
        <w:bottom w:val="none" w:sz="0" w:space="0" w:color="auto"/>
        <w:right w:val="none" w:sz="0" w:space="0" w:color="auto"/>
      </w:divBdr>
    </w:div>
    <w:div w:id="1335110426">
      <w:bodyDiv w:val="1"/>
      <w:marLeft w:val="0"/>
      <w:marRight w:val="0"/>
      <w:marTop w:val="0"/>
      <w:marBottom w:val="0"/>
      <w:divBdr>
        <w:top w:val="none" w:sz="0" w:space="0" w:color="auto"/>
        <w:left w:val="none" w:sz="0" w:space="0" w:color="auto"/>
        <w:bottom w:val="none" w:sz="0" w:space="0" w:color="auto"/>
        <w:right w:val="none" w:sz="0" w:space="0" w:color="auto"/>
      </w:divBdr>
    </w:div>
    <w:div w:id="1353066745">
      <w:bodyDiv w:val="1"/>
      <w:marLeft w:val="0"/>
      <w:marRight w:val="0"/>
      <w:marTop w:val="0"/>
      <w:marBottom w:val="0"/>
      <w:divBdr>
        <w:top w:val="none" w:sz="0" w:space="0" w:color="auto"/>
        <w:left w:val="none" w:sz="0" w:space="0" w:color="auto"/>
        <w:bottom w:val="none" w:sz="0" w:space="0" w:color="auto"/>
        <w:right w:val="none" w:sz="0" w:space="0" w:color="auto"/>
      </w:divBdr>
    </w:div>
    <w:div w:id="1366978461">
      <w:bodyDiv w:val="1"/>
      <w:marLeft w:val="0"/>
      <w:marRight w:val="0"/>
      <w:marTop w:val="0"/>
      <w:marBottom w:val="0"/>
      <w:divBdr>
        <w:top w:val="none" w:sz="0" w:space="0" w:color="auto"/>
        <w:left w:val="none" w:sz="0" w:space="0" w:color="auto"/>
        <w:bottom w:val="none" w:sz="0" w:space="0" w:color="auto"/>
        <w:right w:val="none" w:sz="0" w:space="0" w:color="auto"/>
      </w:divBdr>
    </w:div>
    <w:div w:id="1404915997">
      <w:bodyDiv w:val="1"/>
      <w:marLeft w:val="0"/>
      <w:marRight w:val="0"/>
      <w:marTop w:val="0"/>
      <w:marBottom w:val="0"/>
      <w:divBdr>
        <w:top w:val="none" w:sz="0" w:space="0" w:color="auto"/>
        <w:left w:val="none" w:sz="0" w:space="0" w:color="auto"/>
        <w:bottom w:val="none" w:sz="0" w:space="0" w:color="auto"/>
        <w:right w:val="none" w:sz="0" w:space="0" w:color="auto"/>
      </w:divBdr>
    </w:div>
    <w:div w:id="1460755789">
      <w:bodyDiv w:val="1"/>
      <w:marLeft w:val="0"/>
      <w:marRight w:val="0"/>
      <w:marTop w:val="0"/>
      <w:marBottom w:val="0"/>
      <w:divBdr>
        <w:top w:val="none" w:sz="0" w:space="0" w:color="auto"/>
        <w:left w:val="none" w:sz="0" w:space="0" w:color="auto"/>
        <w:bottom w:val="none" w:sz="0" w:space="0" w:color="auto"/>
        <w:right w:val="none" w:sz="0" w:space="0" w:color="auto"/>
      </w:divBdr>
    </w:div>
    <w:div w:id="1496259172">
      <w:bodyDiv w:val="1"/>
      <w:marLeft w:val="0"/>
      <w:marRight w:val="0"/>
      <w:marTop w:val="0"/>
      <w:marBottom w:val="0"/>
      <w:divBdr>
        <w:top w:val="none" w:sz="0" w:space="0" w:color="auto"/>
        <w:left w:val="none" w:sz="0" w:space="0" w:color="auto"/>
        <w:bottom w:val="none" w:sz="0" w:space="0" w:color="auto"/>
        <w:right w:val="none" w:sz="0" w:space="0" w:color="auto"/>
      </w:divBdr>
    </w:div>
    <w:div w:id="1536043244">
      <w:bodyDiv w:val="1"/>
      <w:marLeft w:val="0"/>
      <w:marRight w:val="0"/>
      <w:marTop w:val="0"/>
      <w:marBottom w:val="0"/>
      <w:divBdr>
        <w:top w:val="none" w:sz="0" w:space="0" w:color="auto"/>
        <w:left w:val="none" w:sz="0" w:space="0" w:color="auto"/>
        <w:bottom w:val="none" w:sz="0" w:space="0" w:color="auto"/>
        <w:right w:val="none" w:sz="0" w:space="0" w:color="auto"/>
      </w:divBdr>
    </w:div>
    <w:div w:id="1553930218">
      <w:bodyDiv w:val="1"/>
      <w:marLeft w:val="0"/>
      <w:marRight w:val="0"/>
      <w:marTop w:val="0"/>
      <w:marBottom w:val="0"/>
      <w:divBdr>
        <w:top w:val="none" w:sz="0" w:space="0" w:color="auto"/>
        <w:left w:val="none" w:sz="0" w:space="0" w:color="auto"/>
        <w:bottom w:val="none" w:sz="0" w:space="0" w:color="auto"/>
        <w:right w:val="none" w:sz="0" w:space="0" w:color="auto"/>
      </w:divBdr>
      <w:divsChild>
        <w:div w:id="18968574">
          <w:marLeft w:val="0"/>
          <w:marRight w:val="0"/>
          <w:marTop w:val="0"/>
          <w:marBottom w:val="0"/>
          <w:divBdr>
            <w:top w:val="none" w:sz="0" w:space="0" w:color="auto"/>
            <w:left w:val="none" w:sz="0" w:space="0" w:color="auto"/>
            <w:bottom w:val="none" w:sz="0" w:space="0" w:color="auto"/>
            <w:right w:val="none" w:sz="0" w:space="0" w:color="auto"/>
          </w:divBdr>
          <w:divsChild>
            <w:div w:id="1846018842">
              <w:marLeft w:val="0"/>
              <w:marRight w:val="0"/>
              <w:marTop w:val="0"/>
              <w:marBottom w:val="0"/>
              <w:divBdr>
                <w:top w:val="none" w:sz="0" w:space="0" w:color="auto"/>
                <w:left w:val="none" w:sz="0" w:space="0" w:color="auto"/>
                <w:bottom w:val="none" w:sz="0" w:space="0" w:color="auto"/>
                <w:right w:val="none" w:sz="0" w:space="0" w:color="auto"/>
              </w:divBdr>
              <w:divsChild>
                <w:div w:id="28728146">
                  <w:marLeft w:val="0"/>
                  <w:marRight w:val="0"/>
                  <w:marTop w:val="0"/>
                  <w:marBottom w:val="0"/>
                  <w:divBdr>
                    <w:top w:val="none" w:sz="0" w:space="0" w:color="auto"/>
                    <w:left w:val="none" w:sz="0" w:space="0" w:color="auto"/>
                    <w:bottom w:val="none" w:sz="0" w:space="0" w:color="auto"/>
                    <w:right w:val="none" w:sz="0" w:space="0" w:color="auto"/>
                  </w:divBdr>
                  <w:divsChild>
                    <w:div w:id="1774477239">
                      <w:marLeft w:val="0"/>
                      <w:marRight w:val="0"/>
                      <w:marTop w:val="0"/>
                      <w:marBottom w:val="0"/>
                      <w:divBdr>
                        <w:top w:val="none" w:sz="0" w:space="0" w:color="auto"/>
                        <w:left w:val="none" w:sz="0" w:space="0" w:color="auto"/>
                        <w:bottom w:val="none" w:sz="0" w:space="0" w:color="auto"/>
                        <w:right w:val="none" w:sz="0" w:space="0" w:color="auto"/>
                      </w:divBdr>
                      <w:divsChild>
                        <w:div w:id="2063206954">
                          <w:marLeft w:val="0"/>
                          <w:marRight w:val="0"/>
                          <w:marTop w:val="0"/>
                          <w:marBottom w:val="0"/>
                          <w:divBdr>
                            <w:top w:val="none" w:sz="0" w:space="0" w:color="auto"/>
                            <w:left w:val="none" w:sz="0" w:space="0" w:color="auto"/>
                            <w:bottom w:val="none" w:sz="0" w:space="0" w:color="auto"/>
                            <w:right w:val="none" w:sz="0" w:space="0" w:color="auto"/>
                          </w:divBdr>
                          <w:divsChild>
                            <w:div w:id="1473787684">
                              <w:marLeft w:val="0"/>
                              <w:marRight w:val="0"/>
                              <w:marTop w:val="0"/>
                              <w:marBottom w:val="0"/>
                              <w:divBdr>
                                <w:top w:val="none" w:sz="0" w:space="0" w:color="auto"/>
                                <w:left w:val="none" w:sz="0" w:space="0" w:color="auto"/>
                                <w:bottom w:val="none" w:sz="0" w:space="0" w:color="auto"/>
                                <w:right w:val="none" w:sz="0" w:space="0" w:color="auto"/>
                              </w:divBdr>
                              <w:divsChild>
                                <w:div w:id="960109949">
                                  <w:marLeft w:val="0"/>
                                  <w:marRight w:val="0"/>
                                  <w:marTop w:val="0"/>
                                  <w:marBottom w:val="0"/>
                                  <w:divBdr>
                                    <w:top w:val="none" w:sz="0" w:space="0" w:color="auto"/>
                                    <w:left w:val="none" w:sz="0" w:space="0" w:color="auto"/>
                                    <w:bottom w:val="none" w:sz="0" w:space="0" w:color="auto"/>
                                    <w:right w:val="none" w:sz="0" w:space="0" w:color="auto"/>
                                  </w:divBdr>
                                  <w:divsChild>
                                    <w:div w:id="1480535291">
                                      <w:marLeft w:val="0"/>
                                      <w:marRight w:val="0"/>
                                      <w:marTop w:val="0"/>
                                      <w:marBottom w:val="0"/>
                                      <w:divBdr>
                                        <w:top w:val="none" w:sz="0" w:space="0" w:color="auto"/>
                                        <w:left w:val="none" w:sz="0" w:space="0" w:color="auto"/>
                                        <w:bottom w:val="none" w:sz="0" w:space="0" w:color="auto"/>
                                        <w:right w:val="none" w:sz="0" w:space="0" w:color="auto"/>
                                      </w:divBdr>
                                    </w:div>
                                    <w:div w:id="1909262018">
                                      <w:marLeft w:val="0"/>
                                      <w:marRight w:val="0"/>
                                      <w:marTop w:val="0"/>
                                      <w:marBottom w:val="0"/>
                                      <w:divBdr>
                                        <w:top w:val="none" w:sz="0" w:space="0" w:color="auto"/>
                                        <w:left w:val="none" w:sz="0" w:space="0" w:color="auto"/>
                                        <w:bottom w:val="none" w:sz="0" w:space="0" w:color="auto"/>
                                        <w:right w:val="none" w:sz="0" w:space="0" w:color="auto"/>
                                      </w:divBdr>
                                      <w:divsChild>
                                        <w:div w:id="700125935">
                                          <w:marLeft w:val="0"/>
                                          <w:marRight w:val="165"/>
                                          <w:marTop w:val="150"/>
                                          <w:marBottom w:val="0"/>
                                          <w:divBdr>
                                            <w:top w:val="none" w:sz="0" w:space="0" w:color="auto"/>
                                            <w:left w:val="none" w:sz="0" w:space="0" w:color="auto"/>
                                            <w:bottom w:val="none" w:sz="0" w:space="0" w:color="auto"/>
                                            <w:right w:val="none" w:sz="0" w:space="0" w:color="auto"/>
                                          </w:divBdr>
                                          <w:divsChild>
                                            <w:div w:id="17784192">
                                              <w:marLeft w:val="0"/>
                                              <w:marRight w:val="0"/>
                                              <w:marTop w:val="0"/>
                                              <w:marBottom w:val="0"/>
                                              <w:divBdr>
                                                <w:top w:val="none" w:sz="0" w:space="0" w:color="auto"/>
                                                <w:left w:val="none" w:sz="0" w:space="0" w:color="auto"/>
                                                <w:bottom w:val="none" w:sz="0" w:space="0" w:color="auto"/>
                                                <w:right w:val="none" w:sz="0" w:space="0" w:color="auto"/>
                                              </w:divBdr>
                                              <w:divsChild>
                                                <w:div w:id="541871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7661">
      <w:bodyDiv w:val="1"/>
      <w:marLeft w:val="0"/>
      <w:marRight w:val="0"/>
      <w:marTop w:val="0"/>
      <w:marBottom w:val="0"/>
      <w:divBdr>
        <w:top w:val="none" w:sz="0" w:space="0" w:color="auto"/>
        <w:left w:val="none" w:sz="0" w:space="0" w:color="auto"/>
        <w:bottom w:val="none" w:sz="0" w:space="0" w:color="auto"/>
        <w:right w:val="none" w:sz="0" w:space="0" w:color="auto"/>
      </w:divBdr>
    </w:div>
    <w:div w:id="1602104831">
      <w:bodyDiv w:val="1"/>
      <w:marLeft w:val="0"/>
      <w:marRight w:val="0"/>
      <w:marTop w:val="0"/>
      <w:marBottom w:val="0"/>
      <w:divBdr>
        <w:top w:val="none" w:sz="0" w:space="0" w:color="auto"/>
        <w:left w:val="none" w:sz="0" w:space="0" w:color="auto"/>
        <w:bottom w:val="none" w:sz="0" w:space="0" w:color="auto"/>
        <w:right w:val="none" w:sz="0" w:space="0" w:color="auto"/>
      </w:divBdr>
    </w:div>
    <w:div w:id="1670055295">
      <w:bodyDiv w:val="1"/>
      <w:marLeft w:val="0"/>
      <w:marRight w:val="0"/>
      <w:marTop w:val="0"/>
      <w:marBottom w:val="0"/>
      <w:divBdr>
        <w:top w:val="none" w:sz="0" w:space="0" w:color="auto"/>
        <w:left w:val="none" w:sz="0" w:space="0" w:color="auto"/>
        <w:bottom w:val="none" w:sz="0" w:space="0" w:color="auto"/>
        <w:right w:val="none" w:sz="0" w:space="0" w:color="auto"/>
      </w:divBdr>
    </w:div>
    <w:div w:id="1689865976">
      <w:bodyDiv w:val="1"/>
      <w:marLeft w:val="0"/>
      <w:marRight w:val="0"/>
      <w:marTop w:val="0"/>
      <w:marBottom w:val="0"/>
      <w:divBdr>
        <w:top w:val="none" w:sz="0" w:space="0" w:color="auto"/>
        <w:left w:val="none" w:sz="0" w:space="0" w:color="auto"/>
        <w:bottom w:val="none" w:sz="0" w:space="0" w:color="auto"/>
        <w:right w:val="none" w:sz="0" w:space="0" w:color="auto"/>
      </w:divBdr>
    </w:div>
    <w:div w:id="1692950360">
      <w:bodyDiv w:val="1"/>
      <w:marLeft w:val="0"/>
      <w:marRight w:val="0"/>
      <w:marTop w:val="0"/>
      <w:marBottom w:val="0"/>
      <w:divBdr>
        <w:top w:val="none" w:sz="0" w:space="0" w:color="auto"/>
        <w:left w:val="none" w:sz="0" w:space="0" w:color="auto"/>
        <w:bottom w:val="none" w:sz="0" w:space="0" w:color="auto"/>
        <w:right w:val="none" w:sz="0" w:space="0" w:color="auto"/>
      </w:divBdr>
    </w:div>
    <w:div w:id="1708917297">
      <w:bodyDiv w:val="1"/>
      <w:marLeft w:val="0"/>
      <w:marRight w:val="0"/>
      <w:marTop w:val="0"/>
      <w:marBottom w:val="0"/>
      <w:divBdr>
        <w:top w:val="none" w:sz="0" w:space="0" w:color="auto"/>
        <w:left w:val="none" w:sz="0" w:space="0" w:color="auto"/>
        <w:bottom w:val="none" w:sz="0" w:space="0" w:color="auto"/>
        <w:right w:val="none" w:sz="0" w:space="0" w:color="auto"/>
      </w:divBdr>
    </w:div>
    <w:div w:id="1718161474">
      <w:bodyDiv w:val="1"/>
      <w:marLeft w:val="0"/>
      <w:marRight w:val="0"/>
      <w:marTop w:val="0"/>
      <w:marBottom w:val="0"/>
      <w:divBdr>
        <w:top w:val="none" w:sz="0" w:space="0" w:color="auto"/>
        <w:left w:val="none" w:sz="0" w:space="0" w:color="auto"/>
        <w:bottom w:val="none" w:sz="0" w:space="0" w:color="auto"/>
        <w:right w:val="none" w:sz="0" w:space="0" w:color="auto"/>
      </w:divBdr>
    </w:div>
    <w:div w:id="1718502623">
      <w:bodyDiv w:val="1"/>
      <w:marLeft w:val="0"/>
      <w:marRight w:val="0"/>
      <w:marTop w:val="0"/>
      <w:marBottom w:val="0"/>
      <w:divBdr>
        <w:top w:val="none" w:sz="0" w:space="0" w:color="auto"/>
        <w:left w:val="none" w:sz="0" w:space="0" w:color="auto"/>
        <w:bottom w:val="none" w:sz="0" w:space="0" w:color="auto"/>
        <w:right w:val="none" w:sz="0" w:space="0" w:color="auto"/>
      </w:divBdr>
    </w:div>
    <w:div w:id="1726876385">
      <w:bodyDiv w:val="1"/>
      <w:marLeft w:val="0"/>
      <w:marRight w:val="0"/>
      <w:marTop w:val="0"/>
      <w:marBottom w:val="0"/>
      <w:divBdr>
        <w:top w:val="none" w:sz="0" w:space="0" w:color="auto"/>
        <w:left w:val="none" w:sz="0" w:space="0" w:color="auto"/>
        <w:bottom w:val="none" w:sz="0" w:space="0" w:color="auto"/>
        <w:right w:val="none" w:sz="0" w:space="0" w:color="auto"/>
      </w:divBdr>
      <w:divsChild>
        <w:div w:id="1645312951">
          <w:marLeft w:val="0"/>
          <w:marRight w:val="0"/>
          <w:marTop w:val="0"/>
          <w:marBottom w:val="0"/>
          <w:divBdr>
            <w:top w:val="none" w:sz="0" w:space="0" w:color="auto"/>
            <w:left w:val="none" w:sz="0" w:space="0" w:color="auto"/>
            <w:bottom w:val="none" w:sz="0" w:space="0" w:color="auto"/>
            <w:right w:val="none" w:sz="0" w:space="0" w:color="auto"/>
          </w:divBdr>
          <w:divsChild>
            <w:div w:id="1851096933">
              <w:marLeft w:val="0"/>
              <w:marRight w:val="0"/>
              <w:marTop w:val="0"/>
              <w:marBottom w:val="0"/>
              <w:divBdr>
                <w:top w:val="none" w:sz="0" w:space="0" w:color="auto"/>
                <w:left w:val="none" w:sz="0" w:space="0" w:color="auto"/>
                <w:bottom w:val="none" w:sz="0" w:space="0" w:color="auto"/>
                <w:right w:val="none" w:sz="0" w:space="0" w:color="auto"/>
              </w:divBdr>
              <w:divsChild>
                <w:div w:id="1653633418">
                  <w:marLeft w:val="0"/>
                  <w:marRight w:val="0"/>
                  <w:marTop w:val="0"/>
                  <w:marBottom w:val="0"/>
                  <w:divBdr>
                    <w:top w:val="none" w:sz="0" w:space="0" w:color="auto"/>
                    <w:left w:val="none" w:sz="0" w:space="0" w:color="auto"/>
                    <w:bottom w:val="none" w:sz="0" w:space="0" w:color="auto"/>
                    <w:right w:val="none" w:sz="0" w:space="0" w:color="auto"/>
                  </w:divBdr>
                  <w:divsChild>
                    <w:div w:id="1333290347">
                      <w:marLeft w:val="0"/>
                      <w:marRight w:val="0"/>
                      <w:marTop w:val="0"/>
                      <w:marBottom w:val="0"/>
                      <w:divBdr>
                        <w:top w:val="none" w:sz="0" w:space="0" w:color="auto"/>
                        <w:left w:val="none" w:sz="0" w:space="0" w:color="auto"/>
                        <w:bottom w:val="none" w:sz="0" w:space="0" w:color="auto"/>
                        <w:right w:val="none" w:sz="0" w:space="0" w:color="auto"/>
                      </w:divBdr>
                      <w:divsChild>
                        <w:div w:id="1386762288">
                          <w:marLeft w:val="0"/>
                          <w:marRight w:val="0"/>
                          <w:marTop w:val="0"/>
                          <w:marBottom w:val="0"/>
                          <w:divBdr>
                            <w:top w:val="none" w:sz="0" w:space="0" w:color="auto"/>
                            <w:left w:val="none" w:sz="0" w:space="0" w:color="auto"/>
                            <w:bottom w:val="none" w:sz="0" w:space="0" w:color="auto"/>
                            <w:right w:val="none" w:sz="0" w:space="0" w:color="auto"/>
                          </w:divBdr>
                          <w:divsChild>
                            <w:div w:id="2140606854">
                              <w:marLeft w:val="0"/>
                              <w:marRight w:val="0"/>
                              <w:marTop w:val="0"/>
                              <w:marBottom w:val="0"/>
                              <w:divBdr>
                                <w:top w:val="none" w:sz="0" w:space="0" w:color="auto"/>
                                <w:left w:val="none" w:sz="0" w:space="0" w:color="auto"/>
                                <w:bottom w:val="none" w:sz="0" w:space="0" w:color="auto"/>
                                <w:right w:val="none" w:sz="0" w:space="0" w:color="auto"/>
                              </w:divBdr>
                              <w:divsChild>
                                <w:div w:id="340620750">
                                  <w:marLeft w:val="0"/>
                                  <w:marRight w:val="0"/>
                                  <w:marTop w:val="0"/>
                                  <w:marBottom w:val="0"/>
                                  <w:divBdr>
                                    <w:top w:val="none" w:sz="0" w:space="0" w:color="auto"/>
                                    <w:left w:val="none" w:sz="0" w:space="0" w:color="auto"/>
                                    <w:bottom w:val="none" w:sz="0" w:space="0" w:color="auto"/>
                                    <w:right w:val="none" w:sz="0" w:space="0" w:color="auto"/>
                                  </w:divBdr>
                                  <w:divsChild>
                                    <w:div w:id="807823388">
                                      <w:marLeft w:val="0"/>
                                      <w:marRight w:val="0"/>
                                      <w:marTop w:val="0"/>
                                      <w:marBottom w:val="0"/>
                                      <w:divBdr>
                                        <w:top w:val="none" w:sz="0" w:space="0" w:color="auto"/>
                                        <w:left w:val="none" w:sz="0" w:space="0" w:color="auto"/>
                                        <w:bottom w:val="none" w:sz="0" w:space="0" w:color="auto"/>
                                        <w:right w:val="none" w:sz="0" w:space="0" w:color="auto"/>
                                      </w:divBdr>
                                      <w:divsChild>
                                        <w:div w:id="1925525899">
                                          <w:marLeft w:val="0"/>
                                          <w:marRight w:val="165"/>
                                          <w:marTop w:val="150"/>
                                          <w:marBottom w:val="0"/>
                                          <w:divBdr>
                                            <w:top w:val="none" w:sz="0" w:space="0" w:color="auto"/>
                                            <w:left w:val="none" w:sz="0" w:space="0" w:color="auto"/>
                                            <w:bottom w:val="none" w:sz="0" w:space="0" w:color="auto"/>
                                            <w:right w:val="none" w:sz="0" w:space="0" w:color="auto"/>
                                          </w:divBdr>
                                          <w:divsChild>
                                            <w:div w:id="1448115085">
                                              <w:marLeft w:val="0"/>
                                              <w:marRight w:val="0"/>
                                              <w:marTop w:val="0"/>
                                              <w:marBottom w:val="0"/>
                                              <w:divBdr>
                                                <w:top w:val="none" w:sz="0" w:space="0" w:color="auto"/>
                                                <w:left w:val="none" w:sz="0" w:space="0" w:color="auto"/>
                                                <w:bottom w:val="none" w:sz="0" w:space="0" w:color="auto"/>
                                                <w:right w:val="none" w:sz="0" w:space="0" w:color="auto"/>
                                              </w:divBdr>
                                              <w:divsChild>
                                                <w:div w:id="14264565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21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sChild>
        <w:div w:id="1129008697">
          <w:marLeft w:val="0"/>
          <w:marRight w:val="0"/>
          <w:marTop w:val="0"/>
          <w:marBottom w:val="0"/>
          <w:divBdr>
            <w:top w:val="none" w:sz="0" w:space="0" w:color="auto"/>
            <w:left w:val="none" w:sz="0" w:space="0" w:color="auto"/>
            <w:bottom w:val="none" w:sz="0" w:space="0" w:color="auto"/>
            <w:right w:val="none" w:sz="0" w:space="0" w:color="auto"/>
          </w:divBdr>
        </w:div>
        <w:div w:id="1851990251">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753163764">
      <w:bodyDiv w:val="1"/>
      <w:marLeft w:val="0"/>
      <w:marRight w:val="0"/>
      <w:marTop w:val="0"/>
      <w:marBottom w:val="0"/>
      <w:divBdr>
        <w:top w:val="none" w:sz="0" w:space="0" w:color="auto"/>
        <w:left w:val="none" w:sz="0" w:space="0" w:color="auto"/>
        <w:bottom w:val="none" w:sz="0" w:space="0" w:color="auto"/>
        <w:right w:val="none" w:sz="0" w:space="0" w:color="auto"/>
      </w:divBdr>
    </w:div>
    <w:div w:id="1799177113">
      <w:bodyDiv w:val="1"/>
      <w:marLeft w:val="0"/>
      <w:marRight w:val="0"/>
      <w:marTop w:val="0"/>
      <w:marBottom w:val="0"/>
      <w:divBdr>
        <w:top w:val="none" w:sz="0" w:space="0" w:color="auto"/>
        <w:left w:val="none" w:sz="0" w:space="0" w:color="auto"/>
        <w:bottom w:val="none" w:sz="0" w:space="0" w:color="auto"/>
        <w:right w:val="none" w:sz="0" w:space="0" w:color="auto"/>
      </w:divBdr>
    </w:div>
    <w:div w:id="1800805755">
      <w:bodyDiv w:val="1"/>
      <w:marLeft w:val="0"/>
      <w:marRight w:val="0"/>
      <w:marTop w:val="0"/>
      <w:marBottom w:val="0"/>
      <w:divBdr>
        <w:top w:val="none" w:sz="0" w:space="0" w:color="auto"/>
        <w:left w:val="none" w:sz="0" w:space="0" w:color="auto"/>
        <w:bottom w:val="none" w:sz="0" w:space="0" w:color="auto"/>
        <w:right w:val="none" w:sz="0" w:space="0" w:color="auto"/>
      </w:divBdr>
    </w:div>
    <w:div w:id="1869221232">
      <w:bodyDiv w:val="1"/>
      <w:marLeft w:val="0"/>
      <w:marRight w:val="0"/>
      <w:marTop w:val="0"/>
      <w:marBottom w:val="0"/>
      <w:divBdr>
        <w:top w:val="none" w:sz="0" w:space="0" w:color="auto"/>
        <w:left w:val="none" w:sz="0" w:space="0" w:color="auto"/>
        <w:bottom w:val="none" w:sz="0" w:space="0" w:color="auto"/>
        <w:right w:val="none" w:sz="0" w:space="0" w:color="auto"/>
      </w:divBdr>
    </w:div>
    <w:div w:id="1922980975">
      <w:bodyDiv w:val="1"/>
      <w:marLeft w:val="0"/>
      <w:marRight w:val="0"/>
      <w:marTop w:val="0"/>
      <w:marBottom w:val="0"/>
      <w:divBdr>
        <w:top w:val="none" w:sz="0" w:space="0" w:color="auto"/>
        <w:left w:val="none" w:sz="0" w:space="0" w:color="auto"/>
        <w:bottom w:val="none" w:sz="0" w:space="0" w:color="auto"/>
        <w:right w:val="none" w:sz="0" w:space="0" w:color="auto"/>
      </w:divBdr>
    </w:div>
    <w:div w:id="1933124648">
      <w:bodyDiv w:val="1"/>
      <w:marLeft w:val="0"/>
      <w:marRight w:val="0"/>
      <w:marTop w:val="0"/>
      <w:marBottom w:val="0"/>
      <w:divBdr>
        <w:top w:val="none" w:sz="0" w:space="0" w:color="auto"/>
        <w:left w:val="none" w:sz="0" w:space="0" w:color="auto"/>
        <w:bottom w:val="none" w:sz="0" w:space="0" w:color="auto"/>
        <w:right w:val="none" w:sz="0" w:space="0" w:color="auto"/>
      </w:divBdr>
    </w:div>
    <w:div w:id="2050959519">
      <w:bodyDiv w:val="1"/>
      <w:marLeft w:val="0"/>
      <w:marRight w:val="0"/>
      <w:marTop w:val="0"/>
      <w:marBottom w:val="0"/>
      <w:divBdr>
        <w:top w:val="none" w:sz="0" w:space="0" w:color="auto"/>
        <w:left w:val="none" w:sz="0" w:space="0" w:color="auto"/>
        <w:bottom w:val="none" w:sz="0" w:space="0" w:color="auto"/>
        <w:right w:val="none" w:sz="0" w:space="0" w:color="auto"/>
      </w:divBdr>
    </w:div>
    <w:div w:id="206386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kaaprilias05@gmail.com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446C-5C0A-4F8D-92E8-977BE5C8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Pages>
  <Words>6488</Words>
  <Characters>36987</Characters>
  <Application>Microsoft Office Word</Application>
  <DocSecurity>0</DocSecurity>
  <Lines>308</Lines>
  <Paragraphs>86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2</cp:lastModifiedBy>
  <cp:revision>15</cp:revision>
  <cp:lastPrinted>2021-10-11T06:06:00Z</cp:lastPrinted>
  <dcterms:created xsi:type="dcterms:W3CDTF">2021-09-09T05:42:00Z</dcterms:created>
  <dcterms:modified xsi:type="dcterms:W3CDTF">2021-10-12T02:43:00Z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cdd67188-05bc-3457-a58d-274599152fed</vt:lpwstr>
  </property>
  <property fmtid="{D5CDD505-2E9C-101B-9397-08002B2CF9AE}" pid="24" name="Mendeley Citation Style_1">
    <vt:lpwstr>http://www.zotero.org/styles/apa</vt:lpwstr>
  </property>
</Properties>
</file>