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3D2812" w14:textId="3B630BDC" w:rsidR="00274BE6" w:rsidRPr="0042530D" w:rsidRDefault="00BC18BA" w:rsidP="00B17912">
      <w:pPr>
        <w:keepNext/>
        <w:keepLines/>
        <w:tabs>
          <w:tab w:val="left" w:pos="284"/>
        </w:tabs>
        <w:spacing w:after="460"/>
        <w:jc w:val="center"/>
        <w:rPr>
          <w:sz w:val="32"/>
          <w:szCs w:val="32"/>
        </w:rPr>
      </w:pPr>
      <w:r>
        <w:rPr>
          <w:rFonts w:eastAsia="Times"/>
          <w:b/>
          <w:sz w:val="32"/>
          <w:szCs w:val="32"/>
        </w:rPr>
        <w:t>Finding the Gap b</w:t>
      </w:r>
      <w:r w:rsidRPr="00BC18BA">
        <w:rPr>
          <w:rFonts w:eastAsia="Times"/>
          <w:b/>
          <w:sz w:val="32"/>
          <w:szCs w:val="32"/>
        </w:rPr>
        <w:t xml:space="preserve">etween </w:t>
      </w:r>
      <w:r w:rsidR="00830E44">
        <w:rPr>
          <w:rFonts w:eastAsia="Times"/>
          <w:b/>
          <w:sz w:val="32"/>
          <w:szCs w:val="32"/>
        </w:rPr>
        <w:t>Economic Globalization Index</w:t>
      </w:r>
      <w:r>
        <w:rPr>
          <w:rFonts w:eastAsia="Times"/>
          <w:b/>
          <w:sz w:val="32"/>
          <w:szCs w:val="32"/>
        </w:rPr>
        <w:t xml:space="preserve"> and Economic Growth Challenges in Indonesia, Malaysia, a</w:t>
      </w:r>
      <w:r w:rsidRPr="00BC18BA">
        <w:rPr>
          <w:rFonts w:eastAsia="Times"/>
          <w:b/>
          <w:sz w:val="32"/>
          <w:szCs w:val="32"/>
        </w:rPr>
        <w:t>nd Thailand</w:t>
      </w:r>
    </w:p>
    <w:p w14:paraId="35370EC2" w14:textId="4D6DAD9F" w:rsidR="00274BE6" w:rsidRPr="0042530D" w:rsidRDefault="00BC18BA" w:rsidP="00BC18BA">
      <w:pPr>
        <w:jc w:val="center"/>
      </w:pPr>
      <w:r>
        <w:rPr>
          <w:rFonts w:eastAsia="Times"/>
        </w:rPr>
        <w:t>Arif Darmawan</w:t>
      </w:r>
      <w:r w:rsidR="009809A4" w:rsidRPr="009809A4">
        <w:rPr>
          <w:rFonts w:eastAsia="Times"/>
          <w:vertAlign w:val="superscript"/>
        </w:rPr>
        <w:t>1</w:t>
      </w:r>
      <w:r w:rsidR="008153B4" w:rsidRPr="0042530D">
        <w:rPr>
          <w:rFonts w:eastAsia="Times"/>
        </w:rPr>
        <w:t xml:space="preserve">, </w:t>
      </w:r>
      <w:r>
        <w:rPr>
          <w:rFonts w:eastAsia="Times"/>
        </w:rPr>
        <w:t>Moneyzar Usman</w:t>
      </w:r>
      <w:r w:rsidR="009809A4" w:rsidRPr="009809A4">
        <w:rPr>
          <w:rFonts w:eastAsia="Times"/>
          <w:vertAlign w:val="superscript"/>
        </w:rPr>
        <w:t>2</w:t>
      </w:r>
      <w:r w:rsidR="008153B4" w:rsidRPr="0042530D">
        <w:rPr>
          <w:rFonts w:eastAsia="Times"/>
        </w:rPr>
        <w:t xml:space="preserve">, </w:t>
      </w:r>
      <w:r>
        <w:rPr>
          <w:rFonts w:eastAsia="Times"/>
        </w:rPr>
        <w:t>Neli Aida</w:t>
      </w:r>
      <w:r w:rsidR="0076065F">
        <w:rPr>
          <w:rFonts w:eastAsia="Times"/>
          <w:vertAlign w:val="superscript"/>
        </w:rPr>
        <w:t>3</w:t>
      </w:r>
      <w:r w:rsidR="0076065F">
        <w:rPr>
          <w:rFonts w:eastAsia="Times"/>
        </w:rPr>
        <w:t xml:space="preserve">, </w:t>
      </w:r>
      <w:r w:rsidR="0076065F" w:rsidRPr="0076065F">
        <w:rPr>
          <w:rFonts w:eastAsia="Times"/>
        </w:rPr>
        <w:t>Qurrota Ayu Nindien</w:t>
      </w:r>
      <w:r w:rsidR="0076065F">
        <w:rPr>
          <w:rFonts w:eastAsia="Times"/>
          <w:vertAlign w:val="superscript"/>
        </w:rPr>
        <w:t>4</w:t>
      </w:r>
    </w:p>
    <w:p w14:paraId="1C3E089D" w14:textId="514188CD" w:rsidR="00274BE6" w:rsidRPr="009809A4" w:rsidRDefault="008153B4" w:rsidP="00BC18BA">
      <w:pPr>
        <w:jc w:val="center"/>
        <w:rPr>
          <w:lang w:val="en-US"/>
        </w:rPr>
      </w:pPr>
      <w:r w:rsidRPr="0042530D">
        <w:rPr>
          <w:rFonts w:eastAsia="Times"/>
          <w:sz w:val="18"/>
          <w:szCs w:val="18"/>
        </w:rPr>
        <w:t>{</w:t>
      </w:r>
      <w:r w:rsidR="00BC18BA">
        <w:rPr>
          <w:rFonts w:eastAsia="Times"/>
          <w:sz w:val="18"/>
          <w:szCs w:val="18"/>
        </w:rPr>
        <w:t>arif.darmawan@feb.unila.ac.id</w:t>
      </w:r>
      <w:r w:rsidR="009809A4">
        <w:rPr>
          <w:rFonts w:eastAsia="Times"/>
          <w:sz w:val="18"/>
          <w:szCs w:val="18"/>
          <w:vertAlign w:val="superscript"/>
        </w:rPr>
        <w:t>1</w:t>
      </w:r>
      <w:r w:rsidR="009809A4">
        <w:rPr>
          <w:rFonts w:eastAsia="Times"/>
          <w:sz w:val="18"/>
          <w:szCs w:val="18"/>
        </w:rPr>
        <w:t xml:space="preserve">, </w:t>
      </w:r>
      <w:r w:rsidR="00BC18BA" w:rsidRPr="00BC18BA">
        <w:rPr>
          <w:rFonts w:eastAsia="Times"/>
          <w:sz w:val="18"/>
          <w:szCs w:val="18"/>
        </w:rPr>
        <w:t>moneyzarusman@gmail.com</w:t>
      </w:r>
      <w:r w:rsidR="00BC18BA" w:rsidRPr="00BC18BA">
        <w:rPr>
          <w:rFonts w:eastAsia="Times"/>
          <w:sz w:val="18"/>
          <w:szCs w:val="18"/>
          <w:vertAlign w:val="superscript"/>
        </w:rPr>
        <w:t>2</w:t>
      </w:r>
      <w:r w:rsidR="00BC18BA">
        <w:rPr>
          <w:rFonts w:eastAsia="Times"/>
          <w:sz w:val="18"/>
          <w:szCs w:val="18"/>
        </w:rPr>
        <w:t xml:space="preserve">, </w:t>
      </w:r>
      <w:r w:rsidR="00BC18BA" w:rsidRPr="00BC18BA">
        <w:rPr>
          <w:rFonts w:eastAsia="Times"/>
          <w:sz w:val="18"/>
          <w:szCs w:val="18"/>
        </w:rPr>
        <w:t>neliaida422@gmail.com</w:t>
      </w:r>
      <w:r w:rsidR="00BC18BA" w:rsidRPr="00BC18BA">
        <w:rPr>
          <w:rFonts w:eastAsia="Times"/>
          <w:sz w:val="18"/>
          <w:szCs w:val="18"/>
          <w:vertAlign w:val="superscript"/>
        </w:rPr>
        <w:t>3</w:t>
      </w:r>
      <w:r w:rsidR="009809A4">
        <w:rPr>
          <w:rFonts w:eastAsia="Times"/>
          <w:sz w:val="18"/>
          <w:szCs w:val="18"/>
        </w:rPr>
        <w:t>}</w:t>
      </w:r>
    </w:p>
    <w:p w14:paraId="12DD243D" w14:textId="77777777" w:rsidR="00274BE6" w:rsidRPr="0042530D" w:rsidRDefault="00274BE6">
      <w:pPr>
        <w:ind w:firstLine="227"/>
        <w:jc w:val="center"/>
      </w:pPr>
    </w:p>
    <w:p w14:paraId="48C3EA49" w14:textId="21770B2D" w:rsidR="00274BE6" w:rsidRPr="0042530D" w:rsidRDefault="00BC18BA">
      <w:pPr>
        <w:ind w:firstLine="227"/>
        <w:jc w:val="center"/>
      </w:pPr>
      <w:r>
        <w:rPr>
          <w:rFonts w:eastAsia="Times"/>
          <w:sz w:val="18"/>
          <w:szCs w:val="18"/>
        </w:rPr>
        <w:t>Department of Economic Development, University of Lampung, Indonesia</w:t>
      </w:r>
      <w:r>
        <w:rPr>
          <w:rFonts w:eastAsia="Times"/>
          <w:sz w:val="18"/>
          <w:szCs w:val="18"/>
          <w:vertAlign w:val="superscript"/>
        </w:rPr>
        <w:t>1,2,3</w:t>
      </w:r>
      <w:r w:rsidR="0076065F">
        <w:rPr>
          <w:rFonts w:eastAsia="Times"/>
          <w:sz w:val="18"/>
          <w:szCs w:val="18"/>
          <w:vertAlign w:val="superscript"/>
        </w:rPr>
        <w:t>,4</w:t>
      </w:r>
    </w:p>
    <w:p w14:paraId="1EFFE038" w14:textId="1F1A24FD" w:rsidR="00274BE6" w:rsidRPr="0042530D" w:rsidRDefault="008153B4">
      <w:pPr>
        <w:spacing w:before="400" w:after="120"/>
        <w:ind w:left="567" w:right="567"/>
        <w:jc w:val="both"/>
      </w:pPr>
      <w:r w:rsidRPr="0042530D">
        <w:rPr>
          <w:rFonts w:eastAsia="Times"/>
          <w:b/>
          <w:sz w:val="18"/>
          <w:szCs w:val="18"/>
        </w:rPr>
        <w:t>Abstract.</w:t>
      </w:r>
      <w:r w:rsidR="0076065F">
        <w:rPr>
          <w:rFonts w:eastAsia="Times"/>
          <w:sz w:val="18"/>
          <w:szCs w:val="18"/>
        </w:rPr>
        <w:t xml:space="preserve"> </w:t>
      </w:r>
      <w:r w:rsidR="0076065F" w:rsidRPr="0076065F">
        <w:rPr>
          <w:rFonts w:eastAsia="Times"/>
          <w:sz w:val="18"/>
          <w:szCs w:val="18"/>
        </w:rPr>
        <w:t>The relationship of globalization to economic growth is a topic of debate in the literature on economic growth and development. Several studies have found positive effects of globalization on growth through effective allocation of domestic resources, diffusion of technology, increased factor productivity</w:t>
      </w:r>
      <w:r w:rsidR="0076065F">
        <w:rPr>
          <w:rFonts w:eastAsia="Times"/>
          <w:sz w:val="18"/>
          <w:szCs w:val="18"/>
        </w:rPr>
        <w:t>,</w:t>
      </w:r>
      <w:r w:rsidR="0076065F" w:rsidRPr="0076065F">
        <w:rPr>
          <w:rFonts w:eastAsia="Times"/>
          <w:sz w:val="18"/>
          <w:szCs w:val="18"/>
        </w:rPr>
        <w:t xml:space="preserve"> and capital gains. On the other hand, others argue that globalization ha</w:t>
      </w:r>
      <w:r w:rsidR="0076065F">
        <w:rPr>
          <w:rFonts w:eastAsia="Times"/>
          <w:sz w:val="18"/>
          <w:szCs w:val="18"/>
        </w:rPr>
        <w:t>rms</w:t>
      </w:r>
      <w:r w:rsidR="0076065F" w:rsidRPr="0076065F">
        <w:rPr>
          <w:rFonts w:eastAsia="Times"/>
          <w:sz w:val="18"/>
          <w:szCs w:val="18"/>
        </w:rPr>
        <w:t xml:space="preserve"> growth in countries with weak institutions, political instability</w:t>
      </w:r>
      <w:r w:rsidR="0076065F">
        <w:rPr>
          <w:rFonts w:eastAsia="Times"/>
          <w:sz w:val="18"/>
          <w:szCs w:val="18"/>
        </w:rPr>
        <w:t>,</w:t>
      </w:r>
      <w:r w:rsidR="0076065F" w:rsidRPr="0076065F">
        <w:rPr>
          <w:rFonts w:eastAsia="Times"/>
          <w:sz w:val="18"/>
          <w:szCs w:val="18"/>
        </w:rPr>
        <w:t xml:space="preserve"> and in countries that specialize in activities that are not effective in the globalization process.</w:t>
      </w:r>
      <w:r w:rsidR="0076065F">
        <w:rPr>
          <w:rFonts w:eastAsia="Times"/>
          <w:sz w:val="18"/>
          <w:szCs w:val="18"/>
        </w:rPr>
        <w:t xml:space="preserve"> This study investigates the gap between economic globalization represented by KOF Index and economic growth in selected ASEAN countries such as Indonesia, Malaysia, and Thailand. It supported</w:t>
      </w:r>
      <w:r w:rsidR="0076065F" w:rsidRPr="0076065F">
        <w:rPr>
          <w:rFonts w:eastAsia="Times"/>
          <w:sz w:val="18"/>
          <w:szCs w:val="18"/>
        </w:rPr>
        <w:t xml:space="preserve"> a competitive business climate in free trade, reducing barriers and taxes in international trade, attracting foreign investment in line with improving infrastructure, financing exports, and building facilities in the form of infrastructure as a place for business transit and business licensing processes. So that in the absence of easy access in economic globalization, rapid progress in innovation, market opening, and an increase in productive investment can lead to continued economic growth. However, economic openness is accompanied by restrictive policies that protect domestic </w:t>
      </w:r>
      <w:r w:rsidR="0076065F">
        <w:rPr>
          <w:rFonts w:eastAsia="Times"/>
          <w:sz w:val="18"/>
          <w:szCs w:val="18"/>
        </w:rPr>
        <w:t>industries and defense investment policies</w:t>
      </w:r>
      <w:r w:rsidR="0076065F" w:rsidRPr="0076065F">
        <w:rPr>
          <w:rFonts w:eastAsia="Times"/>
          <w:sz w:val="18"/>
          <w:szCs w:val="18"/>
        </w:rPr>
        <w:t>.</w:t>
      </w:r>
    </w:p>
    <w:p w14:paraId="594974D2" w14:textId="1A549C3B" w:rsidR="00274BE6" w:rsidRPr="0042530D" w:rsidRDefault="008153B4">
      <w:pPr>
        <w:spacing w:before="400" w:after="120"/>
        <w:ind w:left="567" w:right="567"/>
        <w:jc w:val="both"/>
      </w:pPr>
      <w:r w:rsidRPr="0042530D">
        <w:rPr>
          <w:rFonts w:eastAsia="Times"/>
          <w:b/>
          <w:sz w:val="18"/>
          <w:szCs w:val="18"/>
        </w:rPr>
        <w:t xml:space="preserve">Keywords: </w:t>
      </w:r>
      <w:r w:rsidR="0076065F">
        <w:rPr>
          <w:rFonts w:eastAsia="Times"/>
          <w:sz w:val="18"/>
          <w:szCs w:val="18"/>
        </w:rPr>
        <w:t>Economy Growth, Globalization, KOF Index, Trade Performace</w:t>
      </w:r>
    </w:p>
    <w:p w14:paraId="72138A2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p>
    <w:p w14:paraId="56D365C0" w14:textId="6AA16F9E" w:rsidR="00FC15B8" w:rsidRPr="00FC15B8" w:rsidRDefault="00FC15B8" w:rsidP="00FC15B8">
      <w:pPr>
        <w:ind w:firstLine="360"/>
        <w:jc w:val="both"/>
        <w:rPr>
          <w:rFonts w:eastAsia="Times"/>
        </w:rPr>
      </w:pPr>
      <w:r w:rsidRPr="00FC15B8">
        <w:rPr>
          <w:rFonts w:eastAsia="Times"/>
        </w:rPr>
        <w:t xml:space="preserve">Globalization is an interesting phenomenon and cannot be separated from </w:t>
      </w:r>
      <w:r w:rsidR="0076065F">
        <w:rPr>
          <w:rFonts w:eastAsia="Times"/>
        </w:rPr>
        <w:t>people's lives</w:t>
      </w:r>
      <w:r w:rsidRPr="00FC15B8">
        <w:rPr>
          <w:rFonts w:eastAsia="Times"/>
        </w:rPr>
        <w:t xml:space="preserve"> in various parts of the world. This phenomenon is interesting to research because economic systems </w:t>
      </w:r>
      <w:r w:rsidR="0076065F">
        <w:rPr>
          <w:rFonts w:eastAsia="Times"/>
        </w:rPr>
        <w:t xml:space="preserve">have </w:t>
      </w:r>
      <w:r w:rsidRPr="00FC15B8">
        <w:rPr>
          <w:rFonts w:eastAsia="Times"/>
        </w:rPr>
        <w:t xml:space="preserve">become more interconnected between countries. (Verter and Osakwe, 2015), </w:t>
      </w:r>
      <w:r w:rsidR="0076065F">
        <w:rPr>
          <w:rFonts w:eastAsia="Times"/>
        </w:rPr>
        <w:t>Furthermore,</w:t>
      </w:r>
      <w:r w:rsidRPr="00FC15B8">
        <w:rPr>
          <w:rFonts w:eastAsia="Times"/>
        </w:rPr>
        <w:t xml:space="preserve"> have various opinions in influencing economic growth in a country. Globalization is a process that puts the world's people in reach or connect</w:t>
      </w:r>
      <w:r w:rsidR="0076065F">
        <w:rPr>
          <w:rFonts w:eastAsia="Times"/>
        </w:rPr>
        <w:t>s</w:t>
      </w:r>
      <w:r w:rsidRPr="00FC15B8">
        <w:rPr>
          <w:rFonts w:eastAsia="Times"/>
        </w:rPr>
        <w:t xml:space="preserve"> in all aspects of their lives, whether in culture, economy, politics, technology</w:t>
      </w:r>
      <w:r w:rsidR="0076065F">
        <w:rPr>
          <w:rFonts w:eastAsia="Times"/>
        </w:rPr>
        <w:t>,</w:t>
      </w:r>
      <w:r w:rsidRPr="00FC15B8">
        <w:rPr>
          <w:rFonts w:eastAsia="Times"/>
        </w:rPr>
        <w:t xml:space="preserve"> and the environment (Winarno, 2006). </w:t>
      </w:r>
    </w:p>
    <w:p w14:paraId="06F36293" w14:textId="68AB0183" w:rsidR="00FC15B8" w:rsidRPr="00FC15B8" w:rsidRDefault="00FC15B8" w:rsidP="00FC15B8">
      <w:pPr>
        <w:ind w:firstLine="360"/>
        <w:jc w:val="both"/>
        <w:rPr>
          <w:rFonts w:eastAsia="Times"/>
        </w:rPr>
      </w:pPr>
      <w:r w:rsidRPr="00FC15B8">
        <w:rPr>
          <w:rFonts w:eastAsia="Times"/>
        </w:rPr>
        <w:t xml:space="preserve">The benefits of globalization can increase economic freedom and provide access to information, empowering communities and making them authorized regulators of corporate activity, responsibility, and accountability (Balestrini, 2001). Globalization results in a process that further unites </w:t>
      </w:r>
      <w:r w:rsidR="0076065F">
        <w:rPr>
          <w:rFonts w:eastAsia="Times"/>
        </w:rPr>
        <w:t>many countries' economies</w:t>
      </w:r>
      <w:r w:rsidRPr="00FC15B8">
        <w:rPr>
          <w:rFonts w:eastAsia="Times"/>
        </w:rPr>
        <w:t xml:space="preserve"> encourage</w:t>
      </w:r>
      <w:r w:rsidR="0076065F">
        <w:rPr>
          <w:rFonts w:eastAsia="Times"/>
        </w:rPr>
        <w:t xml:space="preserve"> the global economy, and globalizes</w:t>
      </w:r>
      <w:r w:rsidRPr="00FC15B8">
        <w:rPr>
          <w:rFonts w:eastAsia="Times"/>
        </w:rPr>
        <w:t xml:space="preserve"> economic policies. Globalization is a challenge for almost all countries in the world by demanding </w:t>
      </w:r>
      <w:r w:rsidR="0076065F">
        <w:rPr>
          <w:rFonts w:eastAsia="Times"/>
        </w:rPr>
        <w:t>more comprehensive</w:t>
      </w:r>
      <w:r w:rsidRPr="00FC15B8">
        <w:rPr>
          <w:rFonts w:eastAsia="Times"/>
        </w:rPr>
        <w:t xml:space="preserve"> economic openness. According to </w:t>
      </w:r>
      <w:r w:rsidR="0076065F">
        <w:rPr>
          <w:rFonts w:eastAsia="Times"/>
        </w:rPr>
        <w:t>Nowbutsing's (2014) research,</w:t>
      </w:r>
      <w:r w:rsidRPr="00FC15B8">
        <w:rPr>
          <w:rFonts w:eastAsia="Times"/>
        </w:rPr>
        <w:t xml:space="preserve"> openness is a means to promote growth through research and development and </w:t>
      </w:r>
      <w:r w:rsidR="0076065F">
        <w:rPr>
          <w:rFonts w:eastAsia="Times"/>
        </w:rPr>
        <w:t>broa</w:t>
      </w:r>
      <w:r w:rsidRPr="00FC15B8">
        <w:rPr>
          <w:rFonts w:eastAsia="Times"/>
        </w:rPr>
        <w:t>der market access.</w:t>
      </w:r>
    </w:p>
    <w:p w14:paraId="27E3F737" w14:textId="02A3401B" w:rsidR="00FC15B8" w:rsidRDefault="00FC15B8" w:rsidP="00FC15B8">
      <w:pPr>
        <w:ind w:firstLine="360"/>
        <w:jc w:val="both"/>
        <w:rPr>
          <w:rFonts w:eastAsia="Times"/>
        </w:rPr>
      </w:pPr>
      <w:r w:rsidRPr="00FC15B8">
        <w:rPr>
          <w:rFonts w:eastAsia="Times"/>
        </w:rPr>
        <w:lastRenderedPageBreak/>
        <w:t>The impact of globalization is the rapid liberalization of trade and investment by developed countries to developing countries</w:t>
      </w:r>
      <w:r w:rsidR="0076065F">
        <w:rPr>
          <w:rFonts w:eastAsia="Times"/>
        </w:rPr>
        <w:t>,</w:t>
      </w:r>
      <w:r w:rsidRPr="00FC15B8">
        <w:rPr>
          <w:rFonts w:eastAsia="Times"/>
        </w:rPr>
        <w:t xml:space="preserve"> including ASEAN countries, such as Indonesia, Malaysia</w:t>
      </w:r>
      <w:r w:rsidR="0076065F">
        <w:rPr>
          <w:rFonts w:eastAsia="Times"/>
        </w:rPr>
        <w:t>,</w:t>
      </w:r>
      <w:r w:rsidRPr="00FC15B8">
        <w:rPr>
          <w:rFonts w:eastAsia="Times"/>
        </w:rPr>
        <w:t xml:space="preserve"> and Thailand. These three countries have </w:t>
      </w:r>
      <w:r w:rsidR="0076065F">
        <w:rPr>
          <w:rFonts w:eastAsia="Times"/>
        </w:rPr>
        <w:t xml:space="preserve">a </w:t>
      </w:r>
      <w:r w:rsidRPr="00FC15B8">
        <w:rPr>
          <w:rFonts w:eastAsia="Times"/>
        </w:rPr>
        <w:t>market share</w:t>
      </w:r>
      <w:r w:rsidR="0076065F">
        <w:rPr>
          <w:rFonts w:eastAsia="Times"/>
        </w:rPr>
        <w:t>.</w:t>
      </w:r>
      <w:r w:rsidRPr="00FC15B8">
        <w:rPr>
          <w:rFonts w:eastAsia="Times"/>
        </w:rPr>
        <w:t xml:space="preserve"> The dominan</w:t>
      </w:r>
      <w:r w:rsidR="0076065F">
        <w:rPr>
          <w:rFonts w:eastAsia="Times"/>
        </w:rPr>
        <w:t>ce</w:t>
      </w:r>
      <w:r w:rsidRPr="00FC15B8">
        <w:rPr>
          <w:rFonts w:eastAsia="Times"/>
        </w:rPr>
        <w:t xml:space="preserve"> in southeast Asia is related to the flow of foreign direct investment. Direct investment flows indicate the country's contribution in attracting investments directly related to the use of factors of production. </w:t>
      </w:r>
    </w:p>
    <w:p w14:paraId="2D558C18" w14:textId="77777777" w:rsidR="0076065F" w:rsidRDefault="0076065F" w:rsidP="00FC15B8">
      <w:pPr>
        <w:ind w:firstLine="360"/>
        <w:jc w:val="both"/>
        <w:rPr>
          <w:rFonts w:eastAsia="Times"/>
        </w:rPr>
      </w:pPr>
    </w:p>
    <w:p w14:paraId="5AFC4027" w14:textId="77CF4ACC" w:rsidR="00FC15B8" w:rsidRDefault="00FC15B8" w:rsidP="00A95CAF">
      <w:pPr>
        <w:jc w:val="center"/>
        <w:rPr>
          <w:rFonts w:eastAsia="Times"/>
        </w:rPr>
      </w:pPr>
      <w:r>
        <w:rPr>
          <w:noProof/>
        </w:rPr>
        <w:drawing>
          <wp:inline distT="0" distB="0" distL="0" distR="0" wp14:anchorId="21BED9AF" wp14:editId="71C087A6">
            <wp:extent cx="3822700" cy="2584450"/>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7560AE" w14:textId="77777777" w:rsidR="00FC15B8" w:rsidRDefault="00FC15B8" w:rsidP="00FC15B8">
      <w:pPr>
        <w:ind w:firstLine="360"/>
        <w:jc w:val="center"/>
        <w:rPr>
          <w:rFonts w:eastAsia="Times"/>
        </w:rPr>
      </w:pPr>
    </w:p>
    <w:p w14:paraId="247212CE" w14:textId="20BD92DD" w:rsidR="00FC15B8" w:rsidRDefault="00FC15B8" w:rsidP="00FC15B8">
      <w:pPr>
        <w:ind w:firstLine="360"/>
        <w:jc w:val="both"/>
        <w:rPr>
          <w:rFonts w:eastAsia="Times"/>
        </w:rPr>
      </w:pPr>
      <w:r>
        <w:rPr>
          <w:rFonts w:eastAsia="Times"/>
          <w:b/>
        </w:rPr>
        <w:t>Fig</w:t>
      </w:r>
      <w:r w:rsidRPr="00FC15B8">
        <w:rPr>
          <w:rFonts w:eastAsia="Times"/>
          <w:b/>
        </w:rPr>
        <w:t xml:space="preserve"> 1.</w:t>
      </w:r>
      <w:r w:rsidRPr="00FC15B8">
        <w:rPr>
          <w:rFonts w:eastAsia="Times"/>
        </w:rPr>
        <w:t xml:space="preserve"> FDI Inflow in Three ASEAN Countries, 2018-2020 (Source: UNCTAD, 2021)</w:t>
      </w:r>
    </w:p>
    <w:p w14:paraId="5A037BC1" w14:textId="66C11CE7" w:rsidR="00FC15B8" w:rsidRDefault="00FC15B8" w:rsidP="00FC15B8">
      <w:pPr>
        <w:ind w:firstLine="360"/>
        <w:jc w:val="both"/>
        <w:rPr>
          <w:rFonts w:eastAsia="Times"/>
        </w:rPr>
      </w:pPr>
    </w:p>
    <w:p w14:paraId="70CC2E23" w14:textId="017CA334" w:rsidR="00FC15B8" w:rsidRPr="00FC15B8" w:rsidRDefault="00FC15B8" w:rsidP="00FC15B8">
      <w:pPr>
        <w:ind w:firstLine="360"/>
        <w:jc w:val="both"/>
        <w:rPr>
          <w:rFonts w:eastAsia="Times"/>
        </w:rPr>
      </w:pPr>
      <w:r w:rsidRPr="00FC15B8">
        <w:rPr>
          <w:rFonts w:eastAsia="Times"/>
        </w:rPr>
        <w:t xml:space="preserve">Based on the picture above, the total flow of foreign investment into Thailand is higher </w:t>
      </w:r>
      <w:r w:rsidR="0076065F">
        <w:rPr>
          <w:rFonts w:eastAsia="Times"/>
        </w:rPr>
        <w:t>than</w:t>
      </w:r>
      <w:r w:rsidRPr="00FC15B8">
        <w:rPr>
          <w:rFonts w:eastAsia="Times"/>
        </w:rPr>
        <w:t xml:space="preserve"> Malaysia and Indonesia. This is </w:t>
      </w:r>
      <w:r w:rsidR="0076065F">
        <w:rPr>
          <w:rFonts w:eastAsia="Times"/>
        </w:rPr>
        <w:t>following</w:t>
      </w:r>
      <w:r w:rsidRPr="00FC15B8">
        <w:rPr>
          <w:rFonts w:eastAsia="Times"/>
        </w:rPr>
        <w:t xml:space="preserve"> the strategic position of Thailand as the epicenter of manufacturing production factors in the Southeast Asia region. In addition, in the tourism sector, Thailand develops and opens tourist taps from abroad with various segmentation, ranging from health to rural. </w:t>
      </w:r>
    </w:p>
    <w:p w14:paraId="6412F0DF" w14:textId="6CDC88BE" w:rsidR="00FC15B8" w:rsidRPr="00FC15B8" w:rsidRDefault="00FC15B8" w:rsidP="00FC15B8">
      <w:pPr>
        <w:ind w:firstLine="360"/>
        <w:jc w:val="both"/>
        <w:rPr>
          <w:rFonts w:eastAsia="Times"/>
        </w:rPr>
      </w:pPr>
      <w:r w:rsidRPr="00FC15B8">
        <w:rPr>
          <w:rFonts w:eastAsia="Times"/>
        </w:rPr>
        <w:t xml:space="preserve">FDI is one of the </w:t>
      </w:r>
      <w:r w:rsidR="0076065F">
        <w:rPr>
          <w:rFonts w:eastAsia="Times"/>
        </w:rPr>
        <w:t>critical</w:t>
      </w:r>
      <w:r w:rsidRPr="00FC15B8">
        <w:rPr>
          <w:rFonts w:eastAsia="Times"/>
        </w:rPr>
        <w:t xml:space="preserve"> sources of financing for developing countries</w:t>
      </w:r>
      <w:r w:rsidR="0076065F">
        <w:rPr>
          <w:rFonts w:eastAsia="Times"/>
        </w:rPr>
        <w:t>,</w:t>
      </w:r>
      <w:r w:rsidRPr="00FC15B8">
        <w:rPr>
          <w:rFonts w:eastAsia="Times"/>
        </w:rPr>
        <w:t xml:space="preserve"> including ASEAN countries that are</w:t>
      </w:r>
      <w:r w:rsidR="0076065F">
        <w:rPr>
          <w:rFonts w:eastAsia="Times"/>
        </w:rPr>
        <w:t>,</w:t>
      </w:r>
      <w:r w:rsidRPr="00FC15B8">
        <w:rPr>
          <w:rFonts w:eastAsia="Times"/>
        </w:rPr>
        <w:t xml:space="preserve"> on average</w:t>
      </w:r>
      <w:r w:rsidR="0076065F">
        <w:rPr>
          <w:rFonts w:eastAsia="Times"/>
        </w:rPr>
        <w:t>,</w:t>
      </w:r>
      <w:r w:rsidRPr="00FC15B8">
        <w:rPr>
          <w:rFonts w:eastAsia="Times"/>
        </w:rPr>
        <w:t xml:space="preserve"> developing countries. With a</w:t>
      </w:r>
      <w:r w:rsidR="0076065F">
        <w:rPr>
          <w:rFonts w:eastAsia="Times"/>
        </w:rPr>
        <w:t>n immens</w:t>
      </w:r>
      <w:r w:rsidRPr="00FC15B8">
        <w:rPr>
          <w:rFonts w:eastAsia="Times"/>
        </w:rPr>
        <w:t>e contribution to development, asset transfer, technology</w:t>
      </w:r>
      <w:r w:rsidR="0076065F">
        <w:rPr>
          <w:rFonts w:eastAsia="Times"/>
        </w:rPr>
        <w:t>,</w:t>
      </w:r>
      <w:r w:rsidRPr="00FC15B8">
        <w:rPr>
          <w:rFonts w:eastAsia="Times"/>
        </w:rPr>
        <w:t xml:space="preserve"> and managerial skills can boost economic growth. In the theory of economic growth</w:t>
      </w:r>
      <w:r w:rsidR="0076065F">
        <w:rPr>
          <w:rFonts w:eastAsia="Times"/>
        </w:rPr>
        <w:t>,</w:t>
      </w:r>
      <w:r w:rsidRPr="00FC15B8">
        <w:rPr>
          <w:rFonts w:eastAsia="Times"/>
        </w:rPr>
        <w:t xml:space="preserve"> there are capital accumulation factors that affect economic growth.</w:t>
      </w:r>
    </w:p>
    <w:p w14:paraId="45AF741A" w14:textId="5EDE1242" w:rsidR="00FC15B8" w:rsidRPr="00FC15B8" w:rsidRDefault="00FC15B8" w:rsidP="00FC15B8">
      <w:pPr>
        <w:ind w:firstLine="360"/>
        <w:jc w:val="both"/>
        <w:rPr>
          <w:rFonts w:eastAsia="Times"/>
        </w:rPr>
      </w:pPr>
      <w:r w:rsidRPr="00FC15B8">
        <w:rPr>
          <w:rFonts w:eastAsia="Times"/>
        </w:rPr>
        <w:t xml:space="preserve">Globalization opens up domestic product market opportunities to competitive international markets. </w:t>
      </w:r>
      <w:r w:rsidR="0076065F">
        <w:rPr>
          <w:rFonts w:eastAsia="Times"/>
        </w:rPr>
        <w:t>Nevertheless,</w:t>
      </w:r>
      <w:r w:rsidRPr="00FC15B8">
        <w:rPr>
          <w:rFonts w:eastAsia="Times"/>
        </w:rPr>
        <w:t xml:space="preserve"> on the other hand, it will open the global product into the domestic so that domestic goods will be more rivaled or less competitive with foreign goods. Domestic goods, especially in developing countries </w:t>
      </w:r>
      <w:r w:rsidR="0076065F">
        <w:rPr>
          <w:rFonts w:eastAsia="Times"/>
        </w:rPr>
        <w:t>with</w:t>
      </w:r>
      <w:r w:rsidRPr="00FC15B8">
        <w:rPr>
          <w:rFonts w:eastAsia="Times"/>
        </w:rPr>
        <w:t xml:space="preserve"> labor-intensive characteristics, are increasingly abandoned due to the presence of foreign goods produced with high technology, causing low selling prices and domestic goods that cannot compete on a price basis. This leads to declining employment opportunities, increasing unemployment</w:t>
      </w:r>
      <w:r w:rsidR="0076065F">
        <w:rPr>
          <w:rFonts w:eastAsia="Times"/>
        </w:rPr>
        <w:t>,</w:t>
      </w:r>
      <w:r w:rsidRPr="00FC15B8">
        <w:rPr>
          <w:rFonts w:eastAsia="Times"/>
        </w:rPr>
        <w:t xml:space="preserve"> and poverty rates. </w:t>
      </w:r>
    </w:p>
    <w:p w14:paraId="7705E228" w14:textId="038A5AE4" w:rsidR="00FC15B8" w:rsidRPr="00FC15B8" w:rsidRDefault="00FC15B8" w:rsidP="00FC15B8">
      <w:pPr>
        <w:ind w:firstLine="360"/>
        <w:jc w:val="both"/>
        <w:rPr>
          <w:rFonts w:eastAsia="Times"/>
        </w:rPr>
      </w:pPr>
      <w:r w:rsidRPr="00FC15B8">
        <w:rPr>
          <w:rFonts w:eastAsia="Times"/>
        </w:rPr>
        <w:t>The relationship of globalization to economic growth is a contentious topic in the literature on economic growth and development. Several studies have found positive influences of globalization on growth through effective allocation of domestic resources, diffusion of technology, increased productivity</w:t>
      </w:r>
      <w:r w:rsidR="0076065F">
        <w:rPr>
          <w:rFonts w:eastAsia="Times"/>
        </w:rPr>
        <w:t>,</w:t>
      </w:r>
      <w:r w:rsidRPr="00FC15B8">
        <w:rPr>
          <w:rFonts w:eastAsia="Times"/>
        </w:rPr>
        <w:t xml:space="preserve"> and capital addition. In contrast, others argue that </w:t>
      </w:r>
      <w:r w:rsidRPr="00FC15B8">
        <w:rPr>
          <w:rFonts w:eastAsia="Times"/>
        </w:rPr>
        <w:lastRenderedPageBreak/>
        <w:t>globalization ha</w:t>
      </w:r>
      <w:r w:rsidR="0076065F">
        <w:rPr>
          <w:rFonts w:eastAsia="Times"/>
        </w:rPr>
        <w:t>rms</w:t>
      </w:r>
      <w:r w:rsidRPr="00FC15B8">
        <w:rPr>
          <w:rFonts w:eastAsia="Times"/>
        </w:rPr>
        <w:t xml:space="preserve"> growth in countries with weak institutions, political instability</w:t>
      </w:r>
      <w:r w:rsidR="0076065F">
        <w:rPr>
          <w:rFonts w:eastAsia="Times"/>
        </w:rPr>
        <w:t>,</w:t>
      </w:r>
      <w:r w:rsidRPr="00FC15B8">
        <w:rPr>
          <w:rFonts w:eastAsia="Times"/>
        </w:rPr>
        <w:t xml:space="preserve"> and in countries that specialize in ineffective activities in the process of globalization.</w:t>
      </w:r>
    </w:p>
    <w:p w14:paraId="37C21B22" w14:textId="36ED386D" w:rsidR="00FC15B8" w:rsidRPr="00FC15B8" w:rsidRDefault="00FC15B8" w:rsidP="00FC15B8">
      <w:pPr>
        <w:ind w:firstLine="360"/>
        <w:jc w:val="both"/>
        <w:rPr>
          <w:rFonts w:eastAsia="Times"/>
        </w:rPr>
      </w:pPr>
      <w:r w:rsidRPr="00FC15B8">
        <w:rPr>
          <w:rFonts w:eastAsia="Times"/>
        </w:rPr>
        <w:t>The level of globalization of countries can be seen from the KOF Globalization Index (KonjunkturforschungsstelleII)</w:t>
      </w:r>
      <w:r w:rsidR="0076065F">
        <w:rPr>
          <w:rFonts w:eastAsia="Times"/>
        </w:rPr>
        <w:t>,</w:t>
      </w:r>
      <w:r w:rsidRPr="00FC15B8">
        <w:rPr>
          <w:rFonts w:eastAsia="Times"/>
        </w:rPr>
        <w:t xml:space="preserve"> first published in 2002 by ETH Zurich. The KOF Globalization Index scale is between 1 to 100. The higher the index value indicates that the level of globalization that occurs in a country is higher. Measuring globalization is not easy because m</w:t>
      </w:r>
      <w:r w:rsidR="0076065F">
        <w:rPr>
          <w:rFonts w:eastAsia="Times"/>
        </w:rPr>
        <w:t>uch</w:t>
      </w:r>
      <w:r w:rsidRPr="00FC15B8">
        <w:rPr>
          <w:rFonts w:eastAsia="Times"/>
        </w:rPr>
        <w:t xml:space="preserve"> of its coverage is strongly linked to each other and including everything in a model presents the problem of c</w:t>
      </w:r>
      <w:r w:rsidR="0076065F">
        <w:rPr>
          <w:rFonts w:eastAsia="Times"/>
        </w:rPr>
        <w:t>ol</w:t>
      </w:r>
      <w:r w:rsidRPr="00FC15B8">
        <w:rPr>
          <w:rFonts w:eastAsia="Times"/>
        </w:rPr>
        <w:t>linearity, but if one scope is missing from the model</w:t>
      </w:r>
      <w:r w:rsidR="0076065F">
        <w:rPr>
          <w:rFonts w:eastAsia="Times"/>
        </w:rPr>
        <w:t>,</w:t>
      </w:r>
      <w:r w:rsidRPr="00FC15B8">
        <w:rPr>
          <w:rFonts w:eastAsia="Times"/>
        </w:rPr>
        <w:t xml:space="preserve"> it also raises serious biases.</w:t>
      </w:r>
    </w:p>
    <w:p w14:paraId="2C97B1E8" w14:textId="52BB1756" w:rsidR="00FC15B8" w:rsidRPr="00FC15B8" w:rsidRDefault="0076065F" w:rsidP="00FC15B8">
      <w:pPr>
        <w:ind w:firstLine="360"/>
        <w:jc w:val="both"/>
        <w:rPr>
          <w:rFonts w:eastAsia="Times"/>
        </w:rPr>
      </w:pPr>
      <w:r>
        <w:rPr>
          <w:rFonts w:eastAsia="Times"/>
        </w:rPr>
        <w:t>E</w:t>
      </w:r>
      <w:r w:rsidR="00FC15B8" w:rsidRPr="00FC15B8">
        <w:rPr>
          <w:rFonts w:eastAsia="Times"/>
        </w:rPr>
        <w:t>conomic globalization is a process of economic activity and trade, where various countries around the world become market forces and increasingly integrated without barriers or territorial boundaries of each other. Todaro and Smith (2006) suggest that the economic definition of globalization is the increasing openness of a country's economy to international trade, international funds flows, and foreign investment.</w:t>
      </w:r>
    </w:p>
    <w:p w14:paraId="5290E0DB" w14:textId="02E1D49B" w:rsidR="00FC15B8" w:rsidRPr="00FC15B8" w:rsidRDefault="00FC15B8" w:rsidP="00FC15B8">
      <w:pPr>
        <w:ind w:firstLine="360"/>
        <w:jc w:val="both"/>
        <w:rPr>
          <w:rFonts w:eastAsia="Times"/>
        </w:rPr>
      </w:pPr>
      <w:r w:rsidRPr="00FC15B8">
        <w:rPr>
          <w:rFonts w:eastAsia="Times"/>
        </w:rPr>
        <w:t>Economic globalization is understood by Dreher (2006) as the flow of goods, capital</w:t>
      </w:r>
      <w:r w:rsidR="0076065F">
        <w:rPr>
          <w:rFonts w:eastAsia="Times"/>
        </w:rPr>
        <w:t>,</w:t>
      </w:r>
      <w:r w:rsidRPr="00FC15B8">
        <w:rPr>
          <w:rFonts w:eastAsia="Times"/>
        </w:rPr>
        <w:t xml:space="preserve"> and services as well as the information and perceptions that accompany market exchange (Keohane and Nye, 2000). Some experts argue that globalization is essentially an economic process and can therefore be measured by trade and Foreign Direct Investmen</w:t>
      </w:r>
      <w:r w:rsidR="0076065F">
        <w:rPr>
          <w:rFonts w:eastAsia="Times"/>
        </w:rPr>
        <w:t>t</w:t>
      </w:r>
      <w:r w:rsidRPr="00FC15B8">
        <w:rPr>
          <w:rFonts w:eastAsia="Times"/>
        </w:rPr>
        <w:t xml:space="preserve"> (FDI) (Ellwood, 2001) (Beer and Boswel, 2001).</w:t>
      </w:r>
    </w:p>
    <w:p w14:paraId="5BBE56C0" w14:textId="3DC27AC3" w:rsidR="00830E44" w:rsidRDefault="00FC15B8" w:rsidP="00FC15B8">
      <w:pPr>
        <w:ind w:firstLine="360"/>
        <w:jc w:val="both"/>
        <w:rPr>
          <w:rFonts w:eastAsia="Times"/>
        </w:rPr>
      </w:pPr>
      <w:r w:rsidRPr="00FC15B8">
        <w:rPr>
          <w:rFonts w:eastAsia="Times"/>
        </w:rPr>
        <w:t>The economic success of a country can be determined by economic growth. Because the higher the rate of economic growth</w:t>
      </w:r>
      <w:r w:rsidR="0076065F">
        <w:rPr>
          <w:rFonts w:eastAsia="Times"/>
        </w:rPr>
        <w:t>,</w:t>
      </w:r>
      <w:r w:rsidRPr="00FC15B8">
        <w:rPr>
          <w:rFonts w:eastAsia="Times"/>
        </w:rPr>
        <w:t xml:space="preserve"> the process of increasing a country's output so that the prospects for a country's development are better. Therefore, </w:t>
      </w:r>
      <w:r>
        <w:rPr>
          <w:rFonts w:eastAsia="Times"/>
        </w:rPr>
        <w:t>this study took on the topic of,</w:t>
      </w:r>
    </w:p>
    <w:p w14:paraId="2F7CEDF2" w14:textId="5F305700" w:rsidR="00FC15B8" w:rsidRDefault="00FC15B8" w:rsidP="00830E44">
      <w:pPr>
        <w:jc w:val="both"/>
        <w:rPr>
          <w:rFonts w:eastAsia="Times"/>
        </w:rPr>
      </w:pPr>
      <w:r>
        <w:rPr>
          <w:rFonts w:eastAsia="Times"/>
        </w:rPr>
        <w:t>“</w:t>
      </w:r>
      <w:r w:rsidR="00830E44" w:rsidRPr="00830E44">
        <w:rPr>
          <w:rFonts w:eastAsia="Times"/>
        </w:rPr>
        <w:t>Finding the Gap between Economic Globalization Index and Economic Growth Challenges in Indonesia, Malaysia, and Thailand</w:t>
      </w:r>
      <w:r>
        <w:rPr>
          <w:rFonts w:eastAsia="Times"/>
        </w:rPr>
        <w:t>.“</w:t>
      </w:r>
    </w:p>
    <w:p w14:paraId="10621AAB" w14:textId="333C7552" w:rsidR="00274BE6" w:rsidRDefault="001B1E4E" w:rsidP="00FC15B8">
      <w:pPr>
        <w:spacing w:before="520" w:after="280"/>
        <w:jc w:val="both"/>
        <w:rPr>
          <w:rFonts w:eastAsia="Times"/>
          <w:b/>
          <w:sz w:val="24"/>
          <w:szCs w:val="24"/>
        </w:rPr>
      </w:pPr>
      <w:r>
        <w:rPr>
          <w:rFonts w:eastAsia="Times"/>
          <w:b/>
          <w:sz w:val="24"/>
          <w:szCs w:val="24"/>
        </w:rPr>
        <w:t>2</w:t>
      </w:r>
      <w:r w:rsidR="008153B4" w:rsidRPr="0042530D">
        <w:rPr>
          <w:rFonts w:eastAsia="Times"/>
          <w:b/>
          <w:sz w:val="24"/>
          <w:szCs w:val="24"/>
        </w:rPr>
        <w:t xml:space="preserve">   </w:t>
      </w:r>
      <w:r>
        <w:rPr>
          <w:rFonts w:eastAsia="Times"/>
          <w:b/>
          <w:sz w:val="24"/>
          <w:szCs w:val="24"/>
        </w:rPr>
        <w:t>Literature Review</w:t>
      </w:r>
    </w:p>
    <w:p w14:paraId="45DEA0D2" w14:textId="5CA23F91" w:rsidR="00FC15B8" w:rsidRDefault="00FC15B8" w:rsidP="00FC15B8">
      <w:pPr>
        <w:pStyle w:val="ListParagraph"/>
        <w:numPr>
          <w:ilvl w:val="0"/>
          <w:numId w:val="3"/>
        </w:numPr>
        <w:spacing w:after="280"/>
        <w:ind w:left="714" w:hanging="357"/>
        <w:contextualSpacing w:val="0"/>
        <w:jc w:val="both"/>
        <w:rPr>
          <w:rFonts w:eastAsia="Times"/>
          <w:b/>
          <w:sz w:val="24"/>
          <w:szCs w:val="24"/>
        </w:rPr>
      </w:pPr>
      <w:r>
        <w:rPr>
          <w:rFonts w:eastAsia="Times"/>
          <w:b/>
          <w:sz w:val="24"/>
          <w:szCs w:val="24"/>
        </w:rPr>
        <w:t>Economy Growth</w:t>
      </w:r>
    </w:p>
    <w:p w14:paraId="4ABF3DC4" w14:textId="61EC3537" w:rsidR="00FC15B8" w:rsidRPr="00FC15B8" w:rsidRDefault="00FC15B8" w:rsidP="00FC15B8">
      <w:pPr>
        <w:pStyle w:val="ListParagraph"/>
        <w:jc w:val="both"/>
        <w:rPr>
          <w:rFonts w:eastAsia="Times"/>
        </w:rPr>
      </w:pPr>
      <w:r w:rsidRPr="00FC15B8">
        <w:rPr>
          <w:rFonts w:eastAsia="Times"/>
        </w:rPr>
        <w:t>According to Todaro and Smith (2006)</w:t>
      </w:r>
      <w:r w:rsidR="0076065F">
        <w:rPr>
          <w:rFonts w:eastAsia="Times"/>
        </w:rPr>
        <w:t>,</w:t>
      </w:r>
      <w:r w:rsidRPr="00FC15B8">
        <w:rPr>
          <w:rFonts w:eastAsia="Times"/>
        </w:rPr>
        <w:t xml:space="preserve"> economic growth is a process of </w:t>
      </w:r>
      <w:r w:rsidR="0076065F">
        <w:rPr>
          <w:rFonts w:eastAsia="Times"/>
        </w:rPr>
        <w:t>continuously increasing productive capacity in an econom</w:t>
      </w:r>
      <w:r w:rsidRPr="00FC15B8">
        <w:rPr>
          <w:rFonts w:eastAsia="Times"/>
        </w:rPr>
        <w:t>y over time</w:t>
      </w:r>
      <w:r w:rsidR="0076065F">
        <w:rPr>
          <w:rFonts w:eastAsia="Times"/>
        </w:rPr>
        <w:t>,</w:t>
      </w:r>
      <w:r w:rsidRPr="00FC15B8">
        <w:rPr>
          <w:rFonts w:eastAsia="Times"/>
        </w:rPr>
        <w:t xml:space="preserve"> resulting in a level of national income and output that is getting bigger and greater. The three components of economic growth that are important to every society are (1) capital accumulation, including all new investments in land, physical equipment</w:t>
      </w:r>
      <w:r w:rsidR="0076065F">
        <w:rPr>
          <w:rFonts w:eastAsia="Times"/>
        </w:rPr>
        <w:t>,</w:t>
      </w:r>
      <w:r w:rsidRPr="00FC15B8">
        <w:rPr>
          <w:rFonts w:eastAsia="Times"/>
        </w:rPr>
        <w:t xml:space="preserve"> and human resources through improvements in health, education</w:t>
      </w:r>
      <w:r w:rsidR="0076065F">
        <w:rPr>
          <w:rFonts w:eastAsia="Times"/>
        </w:rPr>
        <w:t>,</w:t>
      </w:r>
      <w:r w:rsidRPr="00FC15B8">
        <w:rPr>
          <w:rFonts w:eastAsia="Times"/>
        </w:rPr>
        <w:t xml:space="preserve"> and work skills, (2) population growth that ultimately leads to the growth of the labor force, (3) technological advances that are widely interpreted as new ways of getting work done.</w:t>
      </w:r>
    </w:p>
    <w:p w14:paraId="25B154EE" w14:textId="77777777" w:rsidR="00FC15B8" w:rsidRPr="00FC15B8" w:rsidRDefault="00FC15B8" w:rsidP="00FC15B8">
      <w:pPr>
        <w:pStyle w:val="ListParagraph"/>
        <w:jc w:val="both"/>
        <w:rPr>
          <w:rFonts w:eastAsia="Times"/>
        </w:rPr>
      </w:pPr>
    </w:p>
    <w:p w14:paraId="1F14084D" w14:textId="77777777" w:rsidR="00FC15B8" w:rsidRPr="00FC15B8" w:rsidRDefault="00FC15B8" w:rsidP="00FC15B8">
      <w:pPr>
        <w:pStyle w:val="ListParagraph"/>
        <w:jc w:val="both"/>
        <w:rPr>
          <w:rFonts w:eastAsia="Times"/>
        </w:rPr>
      </w:pPr>
      <w:r w:rsidRPr="00FC15B8">
        <w:rPr>
          <w:rFonts w:eastAsia="Times"/>
        </w:rPr>
        <w:t>Some factors that affect economic growth:</w:t>
      </w:r>
    </w:p>
    <w:p w14:paraId="5E8F43A5" w14:textId="3DCF734B" w:rsidR="00FC15B8" w:rsidRPr="00FC15B8" w:rsidRDefault="00FC15B8" w:rsidP="00FC15B8">
      <w:pPr>
        <w:pStyle w:val="ListParagraph"/>
        <w:jc w:val="both"/>
        <w:rPr>
          <w:rFonts w:eastAsia="Times"/>
        </w:rPr>
      </w:pPr>
      <w:r>
        <w:rPr>
          <w:rFonts w:eastAsia="Times"/>
        </w:rPr>
        <w:t xml:space="preserve">1. </w:t>
      </w:r>
      <w:r w:rsidRPr="00FC15B8">
        <w:rPr>
          <w:rFonts w:eastAsia="Times"/>
        </w:rPr>
        <w:t>Land and other natural wealth</w:t>
      </w:r>
    </w:p>
    <w:p w14:paraId="3922EA55" w14:textId="4D2BCB84" w:rsidR="00FC15B8" w:rsidRPr="00FC15B8" w:rsidRDefault="00FC15B8" w:rsidP="00FC15B8">
      <w:pPr>
        <w:pStyle w:val="ListParagraph"/>
        <w:jc w:val="both"/>
        <w:rPr>
          <w:rFonts w:eastAsia="Times"/>
        </w:rPr>
      </w:pPr>
      <w:r>
        <w:rPr>
          <w:rFonts w:eastAsia="Times"/>
        </w:rPr>
        <w:t xml:space="preserve">2. </w:t>
      </w:r>
      <w:r w:rsidRPr="00FC15B8">
        <w:rPr>
          <w:rFonts w:eastAsia="Times"/>
        </w:rPr>
        <w:t>The number and quality of the population and labor</w:t>
      </w:r>
    </w:p>
    <w:p w14:paraId="0F363BA7" w14:textId="6AC49F43" w:rsidR="00FC15B8" w:rsidRDefault="00FC15B8" w:rsidP="0076065F">
      <w:pPr>
        <w:pStyle w:val="ListParagraph"/>
        <w:jc w:val="both"/>
        <w:rPr>
          <w:rFonts w:eastAsia="Times"/>
        </w:rPr>
      </w:pPr>
      <w:r>
        <w:rPr>
          <w:rFonts w:eastAsia="Times"/>
        </w:rPr>
        <w:t xml:space="preserve">3. </w:t>
      </w:r>
      <w:r w:rsidRPr="00FC15B8">
        <w:rPr>
          <w:rFonts w:eastAsia="Times"/>
        </w:rPr>
        <w:t>Capital goods and technology levels</w:t>
      </w:r>
    </w:p>
    <w:p w14:paraId="141EC441" w14:textId="77777777" w:rsidR="0076065F" w:rsidRPr="0076065F" w:rsidRDefault="0076065F" w:rsidP="0076065F">
      <w:pPr>
        <w:pStyle w:val="ListParagraph"/>
        <w:jc w:val="both"/>
        <w:rPr>
          <w:rFonts w:eastAsia="Times"/>
        </w:rPr>
      </w:pPr>
    </w:p>
    <w:p w14:paraId="2045925F" w14:textId="2B3A7DB7" w:rsidR="00FC15B8" w:rsidRDefault="00FC15B8" w:rsidP="00FC15B8">
      <w:pPr>
        <w:pStyle w:val="ListParagraph"/>
        <w:numPr>
          <w:ilvl w:val="0"/>
          <w:numId w:val="3"/>
        </w:numPr>
        <w:spacing w:after="280"/>
        <w:contextualSpacing w:val="0"/>
        <w:jc w:val="both"/>
        <w:rPr>
          <w:rFonts w:eastAsia="Times"/>
          <w:b/>
          <w:sz w:val="24"/>
          <w:szCs w:val="24"/>
        </w:rPr>
      </w:pPr>
      <w:r>
        <w:rPr>
          <w:rFonts w:eastAsia="Times"/>
          <w:b/>
          <w:sz w:val="24"/>
          <w:szCs w:val="24"/>
        </w:rPr>
        <w:t>Economic Globalization</w:t>
      </w:r>
    </w:p>
    <w:p w14:paraId="25082AAE" w14:textId="1132CC0A" w:rsidR="00FC15B8" w:rsidRDefault="00FC15B8" w:rsidP="0076065F">
      <w:pPr>
        <w:pStyle w:val="ListParagraph"/>
        <w:jc w:val="both"/>
        <w:rPr>
          <w:rFonts w:eastAsia="Times"/>
        </w:rPr>
      </w:pPr>
      <w:r w:rsidRPr="00FC15B8">
        <w:rPr>
          <w:rFonts w:eastAsia="Times"/>
        </w:rPr>
        <w:lastRenderedPageBreak/>
        <w:t xml:space="preserve">Economic globalization is a process of economic activity and trade in which various countries </w:t>
      </w:r>
      <w:r w:rsidR="0076065F">
        <w:rPr>
          <w:rFonts w:eastAsia="Times"/>
        </w:rPr>
        <w:t>worldwide</w:t>
      </w:r>
      <w:r w:rsidRPr="00FC15B8">
        <w:rPr>
          <w:rFonts w:eastAsia="Times"/>
        </w:rPr>
        <w:t xml:space="preserve"> become market forces and are increasingly integrated without barriers or territorial boundaries of each other. Economic globalization is closely related to free trade. In the KOF Globalization Index, economic globalization is measured by variable indicators of trade openness (50%) consisting of trade activities of goods and services seen from exports and imports and the </w:t>
      </w:r>
      <w:r w:rsidR="0076065F">
        <w:rPr>
          <w:rFonts w:eastAsia="Times"/>
        </w:rPr>
        <w:t xml:space="preserve">diversity of trading partners. </w:t>
      </w:r>
    </w:p>
    <w:p w14:paraId="4DC658D1" w14:textId="77777777" w:rsidR="0076065F" w:rsidRPr="0076065F" w:rsidRDefault="0076065F" w:rsidP="0076065F">
      <w:pPr>
        <w:pStyle w:val="ListParagraph"/>
        <w:jc w:val="both"/>
        <w:rPr>
          <w:rFonts w:eastAsia="Times"/>
        </w:rPr>
      </w:pPr>
    </w:p>
    <w:p w14:paraId="455A13C7" w14:textId="08B7EAA5" w:rsidR="00FC15B8" w:rsidRPr="00FC15B8" w:rsidRDefault="00FC15B8" w:rsidP="0076065F">
      <w:pPr>
        <w:pStyle w:val="ListParagraph"/>
        <w:jc w:val="both"/>
        <w:rPr>
          <w:rFonts w:eastAsia="Times"/>
        </w:rPr>
      </w:pPr>
      <w:r w:rsidRPr="00FC15B8">
        <w:rPr>
          <w:rFonts w:eastAsia="Times"/>
        </w:rPr>
        <w:t xml:space="preserve">The globalization of sub-dimensional trade openness includes variables that measure the exchange of goods and services over long distances. The Swiss Economic Institute uses the </w:t>
      </w:r>
      <w:r w:rsidR="0076065F">
        <w:rPr>
          <w:rFonts w:eastAsia="Times"/>
        </w:rPr>
        <w:t>number</w:t>
      </w:r>
      <w:r w:rsidRPr="00FC15B8">
        <w:rPr>
          <w:rFonts w:eastAsia="Times"/>
        </w:rPr>
        <w:t xml:space="preserve"> of exports and imports of goods as a share of GDP, exports and services imports as part of GDP</w:t>
      </w:r>
      <w:r w:rsidR="0076065F">
        <w:rPr>
          <w:rFonts w:eastAsia="Times"/>
        </w:rPr>
        <w:t>,</w:t>
      </w:r>
      <w:r w:rsidRPr="00FC15B8">
        <w:rPr>
          <w:rFonts w:eastAsia="Times"/>
        </w:rPr>
        <w:t xml:space="preserve"> and variables that measure diversification of trading partners in trade in goods. Diversification of trading partners is calculated as the opposite of the average </w:t>
      </w:r>
      <w:r w:rsidR="0076065F">
        <w:rPr>
          <w:rFonts w:eastAsia="Times"/>
        </w:rPr>
        <w:t>H</w:t>
      </w:r>
      <w:r w:rsidRPr="00FC15B8">
        <w:rPr>
          <w:rFonts w:eastAsia="Times"/>
        </w:rPr>
        <w:t>erfindahl-</w:t>
      </w:r>
      <w:r w:rsidR="0076065F">
        <w:rPr>
          <w:rFonts w:eastAsia="Times"/>
        </w:rPr>
        <w:t>H</w:t>
      </w:r>
      <w:r w:rsidRPr="00FC15B8">
        <w:rPr>
          <w:rFonts w:eastAsia="Times"/>
        </w:rPr>
        <w:t xml:space="preserve">irschmann trading partner concentration index for the export and import of goods. The Herfindahl-Hirschmann trading partner concentration index </w:t>
      </w:r>
      <w:r w:rsidR="0076065F">
        <w:rPr>
          <w:rFonts w:eastAsia="Times"/>
        </w:rPr>
        <w:t>measures</w:t>
      </w:r>
      <w:r w:rsidRPr="00FC15B8">
        <w:rPr>
          <w:rFonts w:eastAsia="Times"/>
        </w:rPr>
        <w:t xml:space="preserve"> companies to industry and </w:t>
      </w:r>
      <w:r w:rsidR="0076065F">
        <w:rPr>
          <w:rFonts w:eastAsia="Times"/>
        </w:rPr>
        <w:t>indicates</w:t>
      </w:r>
      <w:r w:rsidRPr="00FC15B8">
        <w:rPr>
          <w:rFonts w:eastAsia="Times"/>
        </w:rPr>
        <w:t xml:space="preserve"> the amount of competition between them. The more spread a country trades through different trading partners, the higher the value of the variable.</w:t>
      </w:r>
    </w:p>
    <w:p w14:paraId="2BB58678" w14:textId="77777777" w:rsidR="00FC15B8" w:rsidRPr="00FC15B8" w:rsidRDefault="00FC15B8" w:rsidP="00FC15B8">
      <w:pPr>
        <w:pStyle w:val="ListParagraph"/>
        <w:jc w:val="both"/>
        <w:rPr>
          <w:rFonts w:eastAsia="Times"/>
        </w:rPr>
      </w:pPr>
    </w:p>
    <w:p w14:paraId="1C061F35" w14:textId="7B5BAF47" w:rsidR="00FC15B8" w:rsidRDefault="00FC15B8" w:rsidP="0076065F">
      <w:pPr>
        <w:pStyle w:val="ListParagraph"/>
        <w:jc w:val="both"/>
        <w:rPr>
          <w:rFonts w:eastAsia="Times"/>
        </w:rPr>
      </w:pPr>
      <w:r w:rsidRPr="00FC15B8">
        <w:rPr>
          <w:rFonts w:eastAsia="Times"/>
        </w:rPr>
        <w:t>Then also with the second variable indicator, namely financial openness (50%) consisting of Foreign Direct Investment (FDI), portfolio investment, foreign debt, foreign exchange reserves</w:t>
      </w:r>
      <w:r w:rsidR="0076065F">
        <w:rPr>
          <w:rFonts w:eastAsia="Times"/>
        </w:rPr>
        <w:t>,</w:t>
      </w:r>
      <w:r w:rsidRPr="00FC15B8">
        <w:rPr>
          <w:rFonts w:eastAsia="Times"/>
        </w:rPr>
        <w:t xml:space="preserve"> and trade balance components. Based on the work of Lane and Milesi-Ferretti (2007)</w:t>
      </w:r>
      <w:r w:rsidR="0076065F">
        <w:rPr>
          <w:rFonts w:eastAsia="Times"/>
        </w:rPr>
        <w:t>,</w:t>
      </w:r>
      <w:r w:rsidRPr="00FC15B8">
        <w:rPr>
          <w:rFonts w:eastAsia="Times"/>
        </w:rPr>
        <w:t xml:space="preserve"> KOF Swiss Economic Institute includes </w:t>
      </w:r>
      <w:r w:rsidR="0076065F">
        <w:rPr>
          <w:rFonts w:eastAsia="Times"/>
        </w:rPr>
        <w:t xml:space="preserve">the </w:t>
      </w:r>
      <w:r w:rsidRPr="00FC15B8">
        <w:rPr>
          <w:rFonts w:eastAsia="Times"/>
        </w:rPr>
        <w:t xml:space="preserve">variable number of foreign direct investment stocks and liabilities as a share of GDP, the number of assets and investment obligations of international equity portfolios as a share of GDP, the number of shares in and out of international portfolio debt securities and bank loans and deposits as part of GDP and international reserves excluding gold as a share of GDP. As the sole flow variable, it includes payment and receipt of primary income as a share of GDP. </w:t>
      </w:r>
      <w:r w:rsidR="0076065F">
        <w:rPr>
          <w:rFonts w:eastAsia="Times"/>
        </w:rPr>
        <w:t>Furthermore,</w:t>
      </w:r>
      <w:r w:rsidRPr="00FC15B8">
        <w:rPr>
          <w:rFonts w:eastAsia="Times"/>
        </w:rPr>
        <w:t xml:space="preserve"> it consists of income and payments arising mainly from </w:t>
      </w:r>
      <w:r w:rsidR="0076065F">
        <w:rPr>
          <w:rFonts w:eastAsia="Times"/>
        </w:rPr>
        <w:t>providing</w:t>
      </w:r>
      <w:r w:rsidRPr="00FC15B8">
        <w:rPr>
          <w:rFonts w:eastAsia="Times"/>
        </w:rPr>
        <w:t xml:space="preserve"> labor and capital across borders. According to Todaro and Smith (2006)</w:t>
      </w:r>
      <w:r w:rsidR="0076065F">
        <w:rPr>
          <w:rFonts w:eastAsia="Times"/>
        </w:rPr>
        <w:t>,</w:t>
      </w:r>
      <w:r w:rsidRPr="00FC15B8">
        <w:rPr>
          <w:rFonts w:eastAsia="Times"/>
        </w:rPr>
        <w:t xml:space="preserve"> economic growth is a process of increasing </w:t>
      </w:r>
    </w:p>
    <w:p w14:paraId="07602371" w14:textId="77777777" w:rsidR="0076065F" w:rsidRPr="0076065F" w:rsidRDefault="0076065F" w:rsidP="0076065F">
      <w:pPr>
        <w:pStyle w:val="ListParagraph"/>
        <w:jc w:val="both"/>
        <w:rPr>
          <w:rFonts w:eastAsia="Times"/>
        </w:rPr>
      </w:pPr>
    </w:p>
    <w:tbl>
      <w:tblPr>
        <w:tblStyle w:val="TableGrid"/>
        <w:tblpPr w:leftFromText="180" w:rightFromText="180" w:vertAnchor="text" w:horzAnchor="page" w:tblpXSpec="center" w:tblpY="356"/>
        <w:tblW w:w="0" w:type="auto"/>
        <w:tblLook w:val="04A0" w:firstRow="1" w:lastRow="0" w:firstColumn="1" w:lastColumn="0" w:noHBand="0" w:noVBand="1"/>
      </w:tblPr>
      <w:tblGrid>
        <w:gridCol w:w="3960"/>
        <w:gridCol w:w="2250"/>
      </w:tblGrid>
      <w:tr w:rsidR="00FC15B8" w14:paraId="7093C018" w14:textId="77777777" w:rsidTr="00FC15B8">
        <w:trPr>
          <w:trHeight w:val="557"/>
        </w:trPr>
        <w:tc>
          <w:tcPr>
            <w:tcW w:w="3960" w:type="dxa"/>
            <w:tcBorders>
              <w:top w:val="single" w:sz="4" w:space="0" w:color="auto"/>
              <w:left w:val="nil"/>
              <w:bottom w:val="single" w:sz="4" w:space="0" w:color="auto"/>
              <w:right w:val="nil"/>
            </w:tcBorders>
            <w:vAlign w:val="center"/>
          </w:tcPr>
          <w:p w14:paraId="0145DF1D"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Indicators and Variables</w:t>
            </w:r>
          </w:p>
        </w:tc>
        <w:tc>
          <w:tcPr>
            <w:tcW w:w="2250" w:type="dxa"/>
            <w:tcBorders>
              <w:top w:val="single" w:sz="4" w:space="0" w:color="auto"/>
              <w:left w:val="nil"/>
              <w:bottom w:val="single" w:sz="4" w:space="0" w:color="auto"/>
              <w:right w:val="nil"/>
            </w:tcBorders>
            <w:vAlign w:val="center"/>
          </w:tcPr>
          <w:p w14:paraId="708D1CB8"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Weight (%)</w:t>
            </w:r>
          </w:p>
        </w:tc>
      </w:tr>
      <w:tr w:rsidR="00FC15B8" w14:paraId="7006B6AB" w14:textId="77777777" w:rsidTr="00FC15B8">
        <w:tc>
          <w:tcPr>
            <w:tcW w:w="3960" w:type="dxa"/>
            <w:tcBorders>
              <w:top w:val="single" w:sz="4" w:space="0" w:color="auto"/>
              <w:left w:val="nil"/>
              <w:bottom w:val="nil"/>
              <w:right w:val="nil"/>
            </w:tcBorders>
          </w:tcPr>
          <w:p w14:paraId="6F3D4AD5" w14:textId="77777777" w:rsidR="00FC15B8" w:rsidRDefault="00FC15B8" w:rsidP="003E1AFF">
            <w:pPr>
              <w:rPr>
                <w:rFonts w:ascii="Times New Roman" w:hAnsi="Times New Roman" w:cs="Times New Roman"/>
                <w:i/>
                <w:lang w:val="id-ID"/>
              </w:rPr>
            </w:pPr>
            <w:r>
              <w:rPr>
                <w:rFonts w:ascii="Times New Roman" w:hAnsi="Times New Roman" w:cs="Times New Roman"/>
                <w:i/>
                <w:iCs/>
                <w:color w:val="000000"/>
                <w:sz w:val="20"/>
                <w:szCs w:val="20"/>
                <w:lang w:val="id-ID"/>
              </w:rPr>
              <w:t xml:space="preserve">Trade Globalisation </w:t>
            </w:r>
            <w:r>
              <w:rPr>
                <w:rFonts w:ascii="Times New Roman" w:hAnsi="Times New Roman" w:cs="Times New Roman"/>
                <w:iCs/>
                <w:color w:val="000000"/>
                <w:sz w:val="20"/>
                <w:szCs w:val="20"/>
                <w:lang w:val="id-ID"/>
              </w:rPr>
              <w:t>(50.0)</w:t>
            </w:r>
          </w:p>
        </w:tc>
        <w:tc>
          <w:tcPr>
            <w:tcW w:w="2250" w:type="dxa"/>
            <w:tcBorders>
              <w:top w:val="single" w:sz="4" w:space="0" w:color="auto"/>
              <w:left w:val="nil"/>
              <w:bottom w:val="nil"/>
              <w:right w:val="nil"/>
            </w:tcBorders>
          </w:tcPr>
          <w:p w14:paraId="1D6CBFCC" w14:textId="77777777" w:rsidR="00FC15B8" w:rsidRDefault="00FC15B8" w:rsidP="003E1AFF">
            <w:pPr>
              <w:jc w:val="center"/>
              <w:rPr>
                <w:rFonts w:ascii="Times New Roman" w:hAnsi="Times New Roman" w:cs="Times New Roman"/>
                <w:lang w:val="id-ID"/>
              </w:rPr>
            </w:pPr>
          </w:p>
        </w:tc>
      </w:tr>
      <w:tr w:rsidR="00FC15B8" w14:paraId="21B65C65" w14:textId="77777777" w:rsidTr="00FC15B8">
        <w:tc>
          <w:tcPr>
            <w:tcW w:w="3960" w:type="dxa"/>
            <w:tcBorders>
              <w:top w:val="nil"/>
              <w:left w:val="nil"/>
              <w:bottom w:val="nil"/>
              <w:right w:val="nil"/>
            </w:tcBorders>
          </w:tcPr>
          <w:p w14:paraId="4C9ABBDA" w14:textId="3B7B6011" w:rsidR="00FC15B8" w:rsidRDefault="00FC15B8" w:rsidP="0076065F">
            <w:pPr>
              <w:ind w:left="540"/>
              <w:rPr>
                <w:rFonts w:ascii="Times New Roman" w:hAnsi="Times New Roman" w:cs="Times New Roman"/>
                <w:i/>
                <w:lang w:val="id-ID"/>
              </w:rPr>
            </w:pPr>
            <w:r>
              <w:rPr>
                <w:rFonts w:ascii="Times New Roman" w:hAnsi="Times New Roman" w:cs="Times New Roman"/>
                <w:i/>
                <w:color w:val="000000"/>
                <w:sz w:val="20"/>
                <w:szCs w:val="20"/>
                <w:lang w:val="id-ID"/>
              </w:rPr>
              <w:t>Trade</w:t>
            </w:r>
            <w:r w:rsidR="0076065F">
              <w:rPr>
                <w:rFonts w:ascii="Times New Roman" w:hAnsi="Times New Roman" w:cs="Times New Roman"/>
                <w:i/>
                <w:color w:val="000000"/>
                <w:sz w:val="20"/>
                <w:szCs w:val="20"/>
                <w:lang w:val="id-ID"/>
              </w:rPr>
              <w:t>-</w:t>
            </w:r>
            <w:r>
              <w:rPr>
                <w:rFonts w:ascii="Times New Roman" w:hAnsi="Times New Roman" w:cs="Times New Roman"/>
                <w:i/>
                <w:color w:val="000000"/>
                <w:sz w:val="20"/>
                <w:szCs w:val="20"/>
                <w:lang w:val="id-ID"/>
              </w:rPr>
              <w:t>in goods</w:t>
            </w:r>
          </w:p>
        </w:tc>
        <w:tc>
          <w:tcPr>
            <w:tcW w:w="2250" w:type="dxa"/>
            <w:tcBorders>
              <w:top w:val="nil"/>
              <w:left w:val="nil"/>
              <w:bottom w:val="nil"/>
              <w:right w:val="nil"/>
            </w:tcBorders>
          </w:tcPr>
          <w:p w14:paraId="67256C3D"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38.5</w:t>
            </w:r>
          </w:p>
        </w:tc>
      </w:tr>
      <w:tr w:rsidR="00FC15B8" w14:paraId="13E02AAC" w14:textId="77777777" w:rsidTr="00FC15B8">
        <w:tc>
          <w:tcPr>
            <w:tcW w:w="3960" w:type="dxa"/>
            <w:tcBorders>
              <w:top w:val="nil"/>
              <w:left w:val="nil"/>
              <w:bottom w:val="nil"/>
              <w:right w:val="nil"/>
            </w:tcBorders>
          </w:tcPr>
          <w:p w14:paraId="6C03484F" w14:textId="69D44011" w:rsidR="00FC15B8" w:rsidRDefault="00FC15B8" w:rsidP="0076065F">
            <w:pPr>
              <w:ind w:left="540"/>
              <w:rPr>
                <w:rFonts w:ascii="Times New Roman" w:hAnsi="Times New Roman" w:cs="Times New Roman"/>
                <w:i/>
                <w:lang w:val="id-ID"/>
              </w:rPr>
            </w:pPr>
            <w:r>
              <w:rPr>
                <w:rFonts w:ascii="Times New Roman" w:hAnsi="Times New Roman" w:cs="Times New Roman"/>
                <w:i/>
                <w:color w:val="000000"/>
                <w:sz w:val="20"/>
                <w:szCs w:val="20"/>
                <w:lang w:val="id-ID"/>
              </w:rPr>
              <w:t>Trade</w:t>
            </w:r>
            <w:r w:rsidR="0076065F">
              <w:rPr>
                <w:rFonts w:ascii="Times New Roman" w:hAnsi="Times New Roman" w:cs="Times New Roman"/>
                <w:i/>
                <w:color w:val="000000"/>
                <w:sz w:val="20"/>
                <w:szCs w:val="20"/>
                <w:lang w:val="id-ID"/>
              </w:rPr>
              <w:t>-</w:t>
            </w:r>
            <w:r>
              <w:rPr>
                <w:rFonts w:ascii="Times New Roman" w:hAnsi="Times New Roman" w:cs="Times New Roman"/>
                <w:i/>
                <w:color w:val="000000"/>
                <w:sz w:val="20"/>
                <w:szCs w:val="20"/>
                <w:lang w:val="id-ID"/>
              </w:rPr>
              <w:t>in services</w:t>
            </w:r>
          </w:p>
        </w:tc>
        <w:tc>
          <w:tcPr>
            <w:tcW w:w="2250" w:type="dxa"/>
            <w:tcBorders>
              <w:top w:val="nil"/>
              <w:left w:val="nil"/>
              <w:bottom w:val="nil"/>
              <w:right w:val="nil"/>
            </w:tcBorders>
          </w:tcPr>
          <w:p w14:paraId="54F9F2B0"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45.1</w:t>
            </w:r>
          </w:p>
        </w:tc>
      </w:tr>
      <w:tr w:rsidR="00FC15B8" w14:paraId="55F33924" w14:textId="77777777" w:rsidTr="00FC15B8">
        <w:tc>
          <w:tcPr>
            <w:tcW w:w="3960" w:type="dxa"/>
            <w:tcBorders>
              <w:top w:val="nil"/>
              <w:left w:val="nil"/>
              <w:bottom w:val="nil"/>
              <w:right w:val="nil"/>
            </w:tcBorders>
          </w:tcPr>
          <w:p w14:paraId="19D1CF12" w14:textId="77777777" w:rsidR="00FC15B8" w:rsidRDefault="00FC15B8" w:rsidP="003E1AFF">
            <w:pPr>
              <w:ind w:left="540"/>
              <w:rPr>
                <w:rFonts w:ascii="Times New Roman" w:hAnsi="Times New Roman" w:cs="Times New Roman"/>
                <w:i/>
                <w:lang w:val="id-ID"/>
              </w:rPr>
            </w:pPr>
            <w:r>
              <w:rPr>
                <w:rFonts w:ascii="Times New Roman" w:hAnsi="Times New Roman" w:cs="Times New Roman"/>
                <w:i/>
                <w:color w:val="000000"/>
                <w:sz w:val="20"/>
                <w:szCs w:val="20"/>
                <w:lang w:val="id-ID"/>
              </w:rPr>
              <w:t>Trade partner diversity</w:t>
            </w:r>
          </w:p>
        </w:tc>
        <w:tc>
          <w:tcPr>
            <w:tcW w:w="2250" w:type="dxa"/>
            <w:tcBorders>
              <w:top w:val="nil"/>
              <w:left w:val="nil"/>
              <w:bottom w:val="nil"/>
              <w:right w:val="nil"/>
            </w:tcBorders>
          </w:tcPr>
          <w:p w14:paraId="21019D10"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16.4</w:t>
            </w:r>
          </w:p>
        </w:tc>
      </w:tr>
      <w:tr w:rsidR="00FC15B8" w14:paraId="1FA0450B" w14:textId="77777777" w:rsidTr="00FC15B8">
        <w:tc>
          <w:tcPr>
            <w:tcW w:w="3960" w:type="dxa"/>
            <w:tcBorders>
              <w:top w:val="nil"/>
              <w:left w:val="nil"/>
              <w:bottom w:val="nil"/>
              <w:right w:val="nil"/>
            </w:tcBorders>
          </w:tcPr>
          <w:p w14:paraId="6EE3FB1C" w14:textId="77777777" w:rsidR="00FC15B8" w:rsidRDefault="00FC15B8" w:rsidP="003E1AFF">
            <w:pPr>
              <w:ind w:left="540"/>
              <w:rPr>
                <w:rFonts w:ascii="Times New Roman" w:hAnsi="Times New Roman" w:cs="Times New Roman"/>
                <w:i/>
                <w:lang w:val="id-ID"/>
              </w:rPr>
            </w:pPr>
            <w:r>
              <w:rPr>
                <w:rFonts w:ascii="Times New Roman" w:hAnsi="Times New Roman" w:cs="Times New Roman"/>
                <w:i/>
                <w:color w:val="000000"/>
                <w:sz w:val="20"/>
                <w:szCs w:val="20"/>
                <w:lang w:val="id-ID"/>
              </w:rPr>
              <w:t>Trade agreements</w:t>
            </w:r>
          </w:p>
        </w:tc>
        <w:tc>
          <w:tcPr>
            <w:tcW w:w="2250" w:type="dxa"/>
            <w:tcBorders>
              <w:top w:val="nil"/>
              <w:left w:val="nil"/>
              <w:bottom w:val="nil"/>
              <w:right w:val="nil"/>
            </w:tcBorders>
          </w:tcPr>
          <w:p w14:paraId="3B2543A1"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23.5</w:t>
            </w:r>
          </w:p>
        </w:tc>
      </w:tr>
      <w:tr w:rsidR="00FC15B8" w14:paraId="0F3110FE" w14:textId="77777777" w:rsidTr="00FC15B8">
        <w:tc>
          <w:tcPr>
            <w:tcW w:w="3960" w:type="dxa"/>
            <w:tcBorders>
              <w:top w:val="nil"/>
              <w:left w:val="nil"/>
              <w:bottom w:val="nil"/>
              <w:right w:val="nil"/>
            </w:tcBorders>
          </w:tcPr>
          <w:p w14:paraId="62856A65" w14:textId="77777777" w:rsidR="00FC15B8" w:rsidRDefault="00FC15B8" w:rsidP="003E1AFF">
            <w:pPr>
              <w:rPr>
                <w:rFonts w:ascii="Times New Roman" w:hAnsi="Times New Roman" w:cs="Times New Roman"/>
                <w:i/>
                <w:lang w:val="id-ID"/>
              </w:rPr>
            </w:pPr>
            <w:r>
              <w:rPr>
                <w:rFonts w:ascii="Times New Roman" w:hAnsi="Times New Roman" w:cs="Times New Roman"/>
                <w:i/>
                <w:iCs/>
                <w:color w:val="000000"/>
                <w:sz w:val="20"/>
                <w:szCs w:val="20"/>
                <w:lang w:val="id-ID"/>
              </w:rPr>
              <w:t xml:space="preserve">Financial Globalisation </w:t>
            </w:r>
            <w:r>
              <w:rPr>
                <w:rFonts w:ascii="Times New Roman" w:hAnsi="Times New Roman" w:cs="Times New Roman"/>
                <w:iCs/>
                <w:color w:val="000000"/>
                <w:sz w:val="20"/>
                <w:szCs w:val="20"/>
                <w:lang w:val="id-ID"/>
              </w:rPr>
              <w:t>(50.0)</w:t>
            </w:r>
          </w:p>
        </w:tc>
        <w:tc>
          <w:tcPr>
            <w:tcW w:w="2250" w:type="dxa"/>
            <w:tcBorders>
              <w:top w:val="nil"/>
              <w:left w:val="nil"/>
              <w:bottom w:val="nil"/>
              <w:right w:val="nil"/>
            </w:tcBorders>
          </w:tcPr>
          <w:p w14:paraId="334F95C2" w14:textId="77777777" w:rsidR="00FC15B8" w:rsidRDefault="00FC15B8" w:rsidP="003E1AFF">
            <w:pPr>
              <w:jc w:val="center"/>
              <w:rPr>
                <w:rFonts w:ascii="Times New Roman" w:hAnsi="Times New Roman" w:cs="Times New Roman"/>
                <w:lang w:val="id-ID"/>
              </w:rPr>
            </w:pPr>
          </w:p>
        </w:tc>
      </w:tr>
      <w:tr w:rsidR="00FC15B8" w14:paraId="5BE8201E" w14:textId="77777777" w:rsidTr="00FC15B8">
        <w:tc>
          <w:tcPr>
            <w:tcW w:w="3960" w:type="dxa"/>
            <w:tcBorders>
              <w:top w:val="nil"/>
              <w:left w:val="nil"/>
              <w:bottom w:val="nil"/>
              <w:right w:val="nil"/>
            </w:tcBorders>
          </w:tcPr>
          <w:p w14:paraId="686587C2" w14:textId="77777777" w:rsidR="00FC15B8" w:rsidRDefault="00FC15B8" w:rsidP="003E1AFF">
            <w:pPr>
              <w:ind w:left="540"/>
              <w:rPr>
                <w:rFonts w:ascii="Times New Roman" w:hAnsi="Times New Roman" w:cs="Times New Roman"/>
                <w:i/>
                <w:lang w:val="id-ID"/>
              </w:rPr>
            </w:pPr>
            <w:r>
              <w:rPr>
                <w:rFonts w:ascii="Times New Roman" w:hAnsi="Times New Roman" w:cs="Times New Roman"/>
                <w:i/>
                <w:color w:val="000000"/>
                <w:sz w:val="20"/>
                <w:szCs w:val="20"/>
                <w:lang w:val="id-ID"/>
              </w:rPr>
              <w:t>Foreign direct investment</w:t>
            </w:r>
          </w:p>
        </w:tc>
        <w:tc>
          <w:tcPr>
            <w:tcW w:w="2250" w:type="dxa"/>
            <w:tcBorders>
              <w:top w:val="nil"/>
              <w:left w:val="nil"/>
              <w:bottom w:val="nil"/>
              <w:right w:val="nil"/>
            </w:tcBorders>
          </w:tcPr>
          <w:p w14:paraId="1A16131E"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27.3</w:t>
            </w:r>
          </w:p>
        </w:tc>
      </w:tr>
      <w:tr w:rsidR="00FC15B8" w14:paraId="087CECCE" w14:textId="77777777" w:rsidTr="00FC15B8">
        <w:tc>
          <w:tcPr>
            <w:tcW w:w="3960" w:type="dxa"/>
            <w:tcBorders>
              <w:top w:val="nil"/>
              <w:left w:val="nil"/>
              <w:bottom w:val="nil"/>
              <w:right w:val="nil"/>
            </w:tcBorders>
          </w:tcPr>
          <w:p w14:paraId="7324FDE8" w14:textId="77777777" w:rsidR="00FC15B8" w:rsidRDefault="00FC15B8" w:rsidP="003E1AFF">
            <w:pPr>
              <w:ind w:left="540"/>
              <w:rPr>
                <w:rFonts w:ascii="Times New Roman" w:hAnsi="Times New Roman" w:cs="Times New Roman"/>
                <w:i/>
                <w:lang w:val="id-ID"/>
              </w:rPr>
            </w:pPr>
            <w:r>
              <w:rPr>
                <w:rFonts w:ascii="Times New Roman" w:hAnsi="Times New Roman" w:cs="Times New Roman"/>
                <w:i/>
                <w:color w:val="000000"/>
                <w:sz w:val="20"/>
                <w:szCs w:val="20"/>
                <w:lang w:val="id-ID"/>
              </w:rPr>
              <w:t>Portfolio investment</w:t>
            </w:r>
          </w:p>
        </w:tc>
        <w:tc>
          <w:tcPr>
            <w:tcW w:w="2250" w:type="dxa"/>
            <w:tcBorders>
              <w:top w:val="nil"/>
              <w:left w:val="nil"/>
              <w:bottom w:val="nil"/>
              <w:right w:val="nil"/>
            </w:tcBorders>
          </w:tcPr>
          <w:p w14:paraId="6D2D9368"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16.9</w:t>
            </w:r>
          </w:p>
        </w:tc>
      </w:tr>
      <w:tr w:rsidR="00FC15B8" w14:paraId="1FD9CA9E" w14:textId="77777777" w:rsidTr="00FC15B8">
        <w:tc>
          <w:tcPr>
            <w:tcW w:w="3960" w:type="dxa"/>
            <w:tcBorders>
              <w:top w:val="nil"/>
              <w:left w:val="nil"/>
              <w:bottom w:val="nil"/>
              <w:right w:val="nil"/>
            </w:tcBorders>
          </w:tcPr>
          <w:p w14:paraId="3B953D3B" w14:textId="77777777" w:rsidR="00FC15B8" w:rsidRDefault="00FC15B8" w:rsidP="003E1AFF">
            <w:pPr>
              <w:ind w:left="540"/>
              <w:rPr>
                <w:rFonts w:ascii="Times New Roman" w:hAnsi="Times New Roman" w:cs="Times New Roman"/>
                <w:i/>
                <w:lang w:val="id-ID"/>
              </w:rPr>
            </w:pPr>
            <w:r>
              <w:rPr>
                <w:rFonts w:ascii="Times New Roman" w:hAnsi="Times New Roman" w:cs="Times New Roman"/>
                <w:i/>
                <w:color w:val="000000"/>
                <w:sz w:val="20"/>
                <w:szCs w:val="20"/>
                <w:lang w:val="id-ID"/>
              </w:rPr>
              <w:t>International debt</w:t>
            </w:r>
          </w:p>
        </w:tc>
        <w:tc>
          <w:tcPr>
            <w:tcW w:w="2250" w:type="dxa"/>
            <w:tcBorders>
              <w:top w:val="nil"/>
              <w:left w:val="nil"/>
              <w:bottom w:val="nil"/>
              <w:right w:val="nil"/>
            </w:tcBorders>
          </w:tcPr>
          <w:p w14:paraId="675AC238"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25.7</w:t>
            </w:r>
          </w:p>
        </w:tc>
      </w:tr>
      <w:tr w:rsidR="00FC15B8" w14:paraId="3B649E67" w14:textId="77777777" w:rsidTr="00FC15B8">
        <w:tc>
          <w:tcPr>
            <w:tcW w:w="3960" w:type="dxa"/>
            <w:tcBorders>
              <w:top w:val="nil"/>
              <w:left w:val="nil"/>
              <w:bottom w:val="nil"/>
              <w:right w:val="nil"/>
            </w:tcBorders>
          </w:tcPr>
          <w:p w14:paraId="013ED4F0" w14:textId="77777777" w:rsidR="00FC15B8" w:rsidRDefault="00FC15B8" w:rsidP="003E1AFF">
            <w:pPr>
              <w:ind w:left="540"/>
              <w:rPr>
                <w:rFonts w:ascii="Times New Roman" w:hAnsi="Times New Roman" w:cs="Times New Roman"/>
                <w:i/>
                <w:lang w:val="id-ID"/>
              </w:rPr>
            </w:pPr>
            <w:r>
              <w:rPr>
                <w:rFonts w:ascii="Times New Roman" w:hAnsi="Times New Roman" w:cs="Times New Roman"/>
                <w:i/>
                <w:color w:val="000000"/>
                <w:sz w:val="20"/>
                <w:szCs w:val="20"/>
                <w:lang w:val="id-ID"/>
              </w:rPr>
              <w:t>International reserves</w:t>
            </w:r>
          </w:p>
        </w:tc>
        <w:tc>
          <w:tcPr>
            <w:tcW w:w="2250" w:type="dxa"/>
            <w:tcBorders>
              <w:top w:val="nil"/>
              <w:left w:val="nil"/>
              <w:bottom w:val="nil"/>
              <w:right w:val="nil"/>
            </w:tcBorders>
          </w:tcPr>
          <w:p w14:paraId="627B9DE1"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3.2</w:t>
            </w:r>
          </w:p>
        </w:tc>
      </w:tr>
      <w:tr w:rsidR="00FC15B8" w14:paraId="002D241C" w14:textId="77777777" w:rsidTr="00FC15B8">
        <w:tc>
          <w:tcPr>
            <w:tcW w:w="3960" w:type="dxa"/>
            <w:tcBorders>
              <w:top w:val="nil"/>
              <w:left w:val="nil"/>
              <w:bottom w:val="single" w:sz="4" w:space="0" w:color="auto"/>
              <w:right w:val="nil"/>
            </w:tcBorders>
          </w:tcPr>
          <w:p w14:paraId="1E1D964F" w14:textId="77777777" w:rsidR="00FC15B8" w:rsidRDefault="00FC15B8" w:rsidP="003E1AFF">
            <w:pPr>
              <w:ind w:left="540"/>
              <w:rPr>
                <w:rFonts w:ascii="Times New Roman" w:hAnsi="Times New Roman" w:cs="Times New Roman"/>
                <w:i/>
                <w:lang w:val="id-ID"/>
              </w:rPr>
            </w:pPr>
            <w:r>
              <w:rPr>
                <w:rFonts w:ascii="Times New Roman" w:hAnsi="Times New Roman" w:cs="Times New Roman"/>
                <w:i/>
                <w:color w:val="000000"/>
                <w:sz w:val="20"/>
                <w:szCs w:val="20"/>
                <w:lang w:val="id-ID"/>
              </w:rPr>
              <w:t>International income payments</w:t>
            </w:r>
          </w:p>
        </w:tc>
        <w:tc>
          <w:tcPr>
            <w:tcW w:w="2250" w:type="dxa"/>
            <w:tcBorders>
              <w:top w:val="nil"/>
              <w:left w:val="nil"/>
              <w:bottom w:val="single" w:sz="4" w:space="0" w:color="auto"/>
              <w:right w:val="nil"/>
            </w:tcBorders>
          </w:tcPr>
          <w:p w14:paraId="701C13B6" w14:textId="77777777" w:rsidR="00FC15B8" w:rsidRDefault="00FC15B8" w:rsidP="003E1AFF">
            <w:pPr>
              <w:jc w:val="center"/>
              <w:rPr>
                <w:rFonts w:ascii="Times New Roman" w:hAnsi="Times New Roman" w:cs="Times New Roman"/>
                <w:lang w:val="id-ID"/>
              </w:rPr>
            </w:pPr>
            <w:r>
              <w:rPr>
                <w:rFonts w:ascii="Times New Roman" w:hAnsi="Times New Roman" w:cs="Times New Roman"/>
                <w:lang w:val="id-ID"/>
              </w:rPr>
              <w:t>26.9</w:t>
            </w:r>
          </w:p>
        </w:tc>
      </w:tr>
    </w:tbl>
    <w:p w14:paraId="421BCBB5" w14:textId="77777777" w:rsidR="00FC15B8" w:rsidRPr="00FC15B8" w:rsidRDefault="00FC15B8" w:rsidP="00FC15B8">
      <w:pPr>
        <w:pStyle w:val="ListParagraph"/>
        <w:jc w:val="center"/>
        <w:rPr>
          <w:lang w:val="id-ID"/>
        </w:rPr>
      </w:pPr>
      <w:r w:rsidRPr="00FC15B8">
        <w:rPr>
          <w:lang w:val="id-ID"/>
        </w:rPr>
        <w:t xml:space="preserve">Table 1. </w:t>
      </w:r>
      <w:r w:rsidRPr="00FC15B8">
        <w:t xml:space="preserve">Approach </w:t>
      </w:r>
      <w:r w:rsidRPr="00FC15B8">
        <w:rPr>
          <w:lang w:val="id-ID"/>
        </w:rPr>
        <w:t>De facto KOF Economic Globalization</w:t>
      </w:r>
    </w:p>
    <w:p w14:paraId="2A9A6C9F" w14:textId="77777777" w:rsidR="00FC15B8" w:rsidRPr="00FC15B8" w:rsidRDefault="00FC15B8" w:rsidP="00FC15B8">
      <w:pPr>
        <w:pStyle w:val="ListParagraph"/>
        <w:jc w:val="both"/>
        <w:rPr>
          <w:rFonts w:eastAsia="Times"/>
          <w:b/>
          <w:sz w:val="24"/>
          <w:szCs w:val="24"/>
        </w:rPr>
      </w:pPr>
    </w:p>
    <w:p w14:paraId="028A2CF8" w14:textId="77777777" w:rsidR="00FC15B8" w:rsidRDefault="00FC15B8" w:rsidP="001B1E4E">
      <w:pPr>
        <w:jc w:val="both"/>
        <w:rPr>
          <w:rFonts w:eastAsia="Times"/>
          <w:b/>
          <w:sz w:val="24"/>
          <w:szCs w:val="24"/>
        </w:rPr>
      </w:pPr>
    </w:p>
    <w:p w14:paraId="3790C403" w14:textId="77777777" w:rsidR="00FC15B8" w:rsidRDefault="00FC15B8" w:rsidP="001B1E4E">
      <w:pPr>
        <w:jc w:val="both"/>
        <w:rPr>
          <w:rFonts w:eastAsia="Times"/>
          <w:b/>
          <w:sz w:val="24"/>
          <w:szCs w:val="24"/>
        </w:rPr>
      </w:pPr>
    </w:p>
    <w:p w14:paraId="256C76EE" w14:textId="77777777" w:rsidR="00FC15B8" w:rsidRDefault="00FC15B8" w:rsidP="001B1E4E">
      <w:pPr>
        <w:jc w:val="both"/>
        <w:rPr>
          <w:rFonts w:eastAsia="Times"/>
          <w:b/>
          <w:sz w:val="24"/>
          <w:szCs w:val="24"/>
        </w:rPr>
      </w:pPr>
    </w:p>
    <w:p w14:paraId="4DF5BBF4" w14:textId="47BC7F4D" w:rsidR="00FC15B8" w:rsidRDefault="001B1E4E" w:rsidP="001B1E4E">
      <w:pPr>
        <w:jc w:val="both"/>
        <w:rPr>
          <w:rFonts w:eastAsia="Times"/>
          <w:b/>
          <w:sz w:val="24"/>
          <w:szCs w:val="24"/>
        </w:rPr>
      </w:pPr>
      <w:r>
        <w:rPr>
          <w:rFonts w:eastAsia="Times"/>
          <w:b/>
          <w:sz w:val="24"/>
          <w:szCs w:val="24"/>
        </w:rPr>
        <w:t xml:space="preserve">  </w:t>
      </w:r>
    </w:p>
    <w:p w14:paraId="773AFBF3" w14:textId="77777777" w:rsidR="00FC15B8" w:rsidRDefault="00FC15B8" w:rsidP="001B1E4E">
      <w:pPr>
        <w:jc w:val="both"/>
        <w:rPr>
          <w:rFonts w:eastAsia="Times"/>
          <w:b/>
          <w:sz w:val="24"/>
          <w:szCs w:val="24"/>
        </w:rPr>
      </w:pPr>
    </w:p>
    <w:p w14:paraId="3C5C18D0" w14:textId="77777777" w:rsidR="00FC15B8" w:rsidRDefault="00FC15B8" w:rsidP="001B1E4E">
      <w:pPr>
        <w:jc w:val="both"/>
        <w:rPr>
          <w:rFonts w:eastAsia="Times"/>
          <w:b/>
          <w:sz w:val="24"/>
          <w:szCs w:val="24"/>
        </w:rPr>
      </w:pPr>
    </w:p>
    <w:p w14:paraId="4B049F6E" w14:textId="77777777" w:rsidR="00FC15B8" w:rsidRDefault="00FC15B8" w:rsidP="001B1E4E">
      <w:pPr>
        <w:jc w:val="both"/>
        <w:rPr>
          <w:rFonts w:eastAsia="Times"/>
          <w:b/>
          <w:sz w:val="24"/>
          <w:szCs w:val="24"/>
        </w:rPr>
      </w:pPr>
    </w:p>
    <w:p w14:paraId="3ECEB528" w14:textId="77777777" w:rsidR="00FC15B8" w:rsidRDefault="00FC15B8" w:rsidP="001B1E4E">
      <w:pPr>
        <w:jc w:val="both"/>
        <w:rPr>
          <w:rFonts w:eastAsia="Times"/>
          <w:b/>
          <w:sz w:val="24"/>
          <w:szCs w:val="24"/>
        </w:rPr>
      </w:pPr>
    </w:p>
    <w:p w14:paraId="4ECCBE4A" w14:textId="34DD1B8F" w:rsidR="00FC15B8" w:rsidRDefault="00FC15B8" w:rsidP="001B1E4E">
      <w:pPr>
        <w:jc w:val="both"/>
        <w:rPr>
          <w:rFonts w:eastAsia="Times"/>
          <w:b/>
          <w:sz w:val="24"/>
          <w:szCs w:val="24"/>
        </w:rPr>
      </w:pPr>
    </w:p>
    <w:p w14:paraId="4CAF6447" w14:textId="77777777" w:rsidR="00FC15B8" w:rsidRDefault="00FC15B8" w:rsidP="001B1E4E">
      <w:pPr>
        <w:jc w:val="both"/>
        <w:rPr>
          <w:rFonts w:eastAsia="Times"/>
          <w:b/>
          <w:sz w:val="24"/>
          <w:szCs w:val="24"/>
        </w:rPr>
      </w:pPr>
    </w:p>
    <w:p w14:paraId="6FB32AD1" w14:textId="733C403B" w:rsidR="00FC15B8" w:rsidRDefault="00FC15B8" w:rsidP="00FC15B8">
      <w:pPr>
        <w:spacing w:before="520" w:after="280"/>
        <w:jc w:val="both"/>
        <w:rPr>
          <w:rFonts w:eastAsia="Times"/>
          <w:b/>
          <w:sz w:val="24"/>
          <w:szCs w:val="24"/>
        </w:rPr>
      </w:pPr>
      <w:r>
        <w:rPr>
          <w:rFonts w:eastAsia="Times"/>
          <w:b/>
          <w:sz w:val="24"/>
          <w:szCs w:val="24"/>
        </w:rPr>
        <w:lastRenderedPageBreak/>
        <w:t>3</w:t>
      </w:r>
      <w:r w:rsidRPr="0042530D">
        <w:rPr>
          <w:rFonts w:eastAsia="Times"/>
          <w:b/>
          <w:sz w:val="24"/>
          <w:szCs w:val="24"/>
        </w:rPr>
        <w:t xml:space="preserve">  </w:t>
      </w:r>
      <w:r>
        <w:rPr>
          <w:rFonts w:eastAsia="Times"/>
          <w:b/>
          <w:sz w:val="24"/>
          <w:szCs w:val="24"/>
        </w:rPr>
        <w:t xml:space="preserve">Research Methodology </w:t>
      </w:r>
    </w:p>
    <w:p w14:paraId="00F4908F" w14:textId="23C5E743" w:rsidR="00FC15B8" w:rsidRDefault="00FC15B8" w:rsidP="00FC15B8">
      <w:pPr>
        <w:ind w:firstLine="360"/>
        <w:jc w:val="both"/>
        <w:rPr>
          <w:rFonts w:eastAsia="Times"/>
        </w:rPr>
      </w:pPr>
      <w:r w:rsidRPr="00FC15B8">
        <w:rPr>
          <w:rFonts w:eastAsia="Times"/>
        </w:rPr>
        <w:t>This method is used because the data panel is a combination of two types of data, time series</w:t>
      </w:r>
      <w:r w:rsidR="0076065F">
        <w:rPr>
          <w:rFonts w:eastAsia="Times"/>
        </w:rPr>
        <w:t>,</w:t>
      </w:r>
      <w:r w:rsidRPr="00FC15B8">
        <w:rPr>
          <w:rFonts w:eastAsia="Times"/>
        </w:rPr>
        <w:t xml:space="preserve"> and cross</w:t>
      </w:r>
      <w:r w:rsidR="0076065F">
        <w:rPr>
          <w:rFonts w:eastAsia="Times"/>
        </w:rPr>
        <w:t>-</w:t>
      </w:r>
      <w:r w:rsidRPr="00FC15B8">
        <w:rPr>
          <w:rFonts w:eastAsia="Times"/>
        </w:rPr>
        <w:t>section</w:t>
      </w:r>
      <w:r w:rsidR="0076065F">
        <w:rPr>
          <w:rFonts w:eastAsia="Times"/>
        </w:rPr>
        <w:t>,</w:t>
      </w:r>
      <w:r w:rsidRPr="00FC15B8">
        <w:rPr>
          <w:rFonts w:eastAsia="Times"/>
        </w:rPr>
        <w:t xml:space="preserve"> that </w:t>
      </w:r>
      <w:r w:rsidR="0076065F">
        <w:rPr>
          <w:rFonts w:eastAsia="Times"/>
        </w:rPr>
        <w:t>can</w:t>
      </w:r>
      <w:r w:rsidRPr="00FC15B8">
        <w:rPr>
          <w:rFonts w:eastAsia="Times"/>
        </w:rPr>
        <w:t xml:space="preserve"> provide more data so that it will produce a greater degree of freedom and by using panel data can overcome the problem omitted-variable (Widarjono, 2013).</w:t>
      </w:r>
    </w:p>
    <w:p w14:paraId="3E19C1FC" w14:textId="2A083D41" w:rsidR="00FC15B8" w:rsidRDefault="00FC15B8" w:rsidP="00FC15B8">
      <w:pPr>
        <w:ind w:firstLine="360"/>
        <w:jc w:val="both"/>
        <w:rPr>
          <w:rFonts w:eastAsia="Times"/>
        </w:rPr>
      </w:pPr>
      <w:r w:rsidRPr="00FC15B8">
        <w:rPr>
          <w:rFonts w:eastAsia="Times"/>
        </w:rPr>
        <w:t>Data is sourced from ETH Zurich and the World Bank. The variables used in this study are summarized in the table as follows:</w:t>
      </w:r>
    </w:p>
    <w:p w14:paraId="1922B597" w14:textId="639D2690" w:rsidR="00830E44" w:rsidRDefault="00830E44" w:rsidP="00FC15B8">
      <w:pPr>
        <w:ind w:firstLine="360"/>
        <w:jc w:val="both"/>
        <w:rPr>
          <w:rFonts w:eastAsia="Times"/>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915"/>
        <w:gridCol w:w="1399"/>
        <w:gridCol w:w="1190"/>
        <w:gridCol w:w="1124"/>
        <w:gridCol w:w="1260"/>
      </w:tblGrid>
      <w:tr w:rsidR="00830E44" w:rsidRPr="00830E44" w14:paraId="2E422ED2" w14:textId="77777777" w:rsidTr="00830E44">
        <w:tc>
          <w:tcPr>
            <w:tcW w:w="601" w:type="dxa"/>
            <w:tcBorders>
              <w:top w:val="single" w:sz="4" w:space="0" w:color="auto"/>
              <w:bottom w:val="single" w:sz="4" w:space="0" w:color="auto"/>
            </w:tcBorders>
            <w:vAlign w:val="center"/>
          </w:tcPr>
          <w:p w14:paraId="432A5F9B" w14:textId="77777777" w:rsidR="00830E44" w:rsidRPr="00830E44" w:rsidRDefault="00830E44" w:rsidP="00830E44">
            <w:pPr>
              <w:jc w:val="center"/>
              <w:rPr>
                <w:rFonts w:ascii="Times New Roman" w:eastAsia="SimSun" w:hAnsi="Times New Roman" w:cs="Times New Roman"/>
              </w:rPr>
            </w:pPr>
            <w:r w:rsidRPr="00830E44">
              <w:rPr>
                <w:rFonts w:ascii="Times New Roman" w:eastAsia="SimSun" w:hAnsi="Times New Roman" w:cs="Times New Roman"/>
              </w:rPr>
              <w:t>No</w:t>
            </w:r>
          </w:p>
        </w:tc>
        <w:tc>
          <w:tcPr>
            <w:tcW w:w="1915" w:type="dxa"/>
            <w:tcBorders>
              <w:top w:val="single" w:sz="4" w:space="0" w:color="auto"/>
              <w:bottom w:val="single" w:sz="4" w:space="0" w:color="auto"/>
            </w:tcBorders>
            <w:vAlign w:val="center"/>
          </w:tcPr>
          <w:p w14:paraId="4BA2829E" w14:textId="59CB86EC" w:rsidR="00830E44" w:rsidRPr="00830E44" w:rsidRDefault="00830E44" w:rsidP="00830E44">
            <w:pPr>
              <w:spacing w:after="100" w:afterAutospacing="1"/>
              <w:jc w:val="center"/>
              <w:rPr>
                <w:rFonts w:ascii="Times New Roman" w:eastAsia="SimSun" w:hAnsi="Times New Roman" w:cs="Times New Roman"/>
              </w:rPr>
            </w:pPr>
            <w:r w:rsidRPr="00830E44">
              <w:rPr>
                <w:rFonts w:ascii="Times New Roman" w:eastAsia="SimSun" w:hAnsi="Times New Roman" w:cs="Times New Roman"/>
              </w:rPr>
              <w:t>Variable Name</w:t>
            </w:r>
          </w:p>
        </w:tc>
        <w:tc>
          <w:tcPr>
            <w:tcW w:w="1399" w:type="dxa"/>
            <w:tcBorders>
              <w:top w:val="single" w:sz="4" w:space="0" w:color="auto"/>
              <w:bottom w:val="single" w:sz="4" w:space="0" w:color="auto"/>
            </w:tcBorders>
            <w:vAlign w:val="center"/>
          </w:tcPr>
          <w:p w14:paraId="3479C1EA" w14:textId="44325DE8" w:rsidR="00830E44" w:rsidRPr="00830E44" w:rsidRDefault="00830E44" w:rsidP="00830E44">
            <w:pPr>
              <w:spacing w:after="100" w:afterAutospacing="1"/>
              <w:jc w:val="center"/>
              <w:rPr>
                <w:rFonts w:ascii="Times New Roman" w:eastAsia="SimSun" w:hAnsi="Times New Roman" w:cs="Times New Roman"/>
              </w:rPr>
            </w:pPr>
            <w:r w:rsidRPr="00830E44">
              <w:rPr>
                <w:rFonts w:ascii="Times New Roman" w:eastAsia="SimSun" w:hAnsi="Times New Roman" w:cs="Times New Roman"/>
              </w:rPr>
              <w:t>Symbol</w:t>
            </w:r>
          </w:p>
        </w:tc>
        <w:tc>
          <w:tcPr>
            <w:tcW w:w="1190" w:type="dxa"/>
            <w:tcBorders>
              <w:top w:val="single" w:sz="4" w:space="0" w:color="auto"/>
              <w:bottom w:val="single" w:sz="4" w:space="0" w:color="auto"/>
            </w:tcBorders>
            <w:vAlign w:val="center"/>
          </w:tcPr>
          <w:p w14:paraId="3E10F1AB" w14:textId="27DB1AE5" w:rsidR="00830E44" w:rsidRPr="00830E44" w:rsidRDefault="00830E44" w:rsidP="00830E44">
            <w:pPr>
              <w:spacing w:after="100" w:afterAutospacing="1"/>
              <w:jc w:val="center"/>
              <w:rPr>
                <w:rFonts w:ascii="Times New Roman" w:eastAsia="SimSun" w:hAnsi="Times New Roman" w:cs="Times New Roman"/>
              </w:rPr>
            </w:pPr>
            <w:r w:rsidRPr="00830E44">
              <w:rPr>
                <w:rFonts w:ascii="Times New Roman" w:eastAsia="SimSun" w:hAnsi="Times New Roman" w:cs="Times New Roman"/>
              </w:rPr>
              <w:t>Period</w:t>
            </w:r>
          </w:p>
        </w:tc>
        <w:tc>
          <w:tcPr>
            <w:tcW w:w="1124" w:type="dxa"/>
            <w:tcBorders>
              <w:top w:val="single" w:sz="4" w:space="0" w:color="auto"/>
              <w:bottom w:val="single" w:sz="4" w:space="0" w:color="auto"/>
            </w:tcBorders>
            <w:vAlign w:val="center"/>
          </w:tcPr>
          <w:p w14:paraId="2B1407C9" w14:textId="36432C34" w:rsidR="00830E44" w:rsidRPr="00830E44" w:rsidRDefault="00830E44" w:rsidP="00830E44">
            <w:pPr>
              <w:spacing w:after="100" w:afterAutospacing="1"/>
              <w:jc w:val="center"/>
              <w:rPr>
                <w:rFonts w:ascii="Times New Roman" w:eastAsia="SimSun" w:hAnsi="Times New Roman" w:cs="Times New Roman"/>
              </w:rPr>
            </w:pPr>
            <w:r w:rsidRPr="00830E44">
              <w:rPr>
                <w:rFonts w:ascii="Times New Roman" w:eastAsia="SimSun" w:hAnsi="Times New Roman" w:cs="Times New Roman"/>
              </w:rPr>
              <w:t>Unit</w:t>
            </w:r>
          </w:p>
        </w:tc>
        <w:tc>
          <w:tcPr>
            <w:tcW w:w="1260" w:type="dxa"/>
            <w:tcBorders>
              <w:top w:val="single" w:sz="4" w:space="0" w:color="auto"/>
              <w:bottom w:val="single" w:sz="4" w:space="0" w:color="auto"/>
            </w:tcBorders>
            <w:vAlign w:val="center"/>
          </w:tcPr>
          <w:p w14:paraId="3A7B7B9E" w14:textId="3D50A4B5" w:rsidR="00830E44" w:rsidRPr="00830E44" w:rsidRDefault="00830E44" w:rsidP="00830E44">
            <w:pPr>
              <w:spacing w:after="100" w:afterAutospacing="1"/>
              <w:jc w:val="center"/>
              <w:rPr>
                <w:rFonts w:ascii="Times New Roman" w:eastAsia="SimSun" w:hAnsi="Times New Roman" w:cs="Times New Roman"/>
              </w:rPr>
            </w:pPr>
            <w:r w:rsidRPr="00830E44">
              <w:rPr>
                <w:rFonts w:ascii="Times New Roman" w:eastAsia="SimSun" w:hAnsi="Times New Roman" w:cs="Times New Roman"/>
              </w:rPr>
              <w:t>Data Source</w:t>
            </w:r>
          </w:p>
        </w:tc>
      </w:tr>
      <w:tr w:rsidR="00830E44" w:rsidRPr="00830E44" w14:paraId="708B9405" w14:textId="77777777" w:rsidTr="00830E44">
        <w:tc>
          <w:tcPr>
            <w:tcW w:w="601" w:type="dxa"/>
            <w:tcBorders>
              <w:top w:val="single" w:sz="4" w:space="0" w:color="auto"/>
            </w:tcBorders>
          </w:tcPr>
          <w:p w14:paraId="3C0B00A3" w14:textId="77777777" w:rsidR="00830E44" w:rsidRPr="00830E44" w:rsidRDefault="00830E44" w:rsidP="00830E44">
            <w:pPr>
              <w:spacing w:after="100" w:afterAutospacing="1"/>
              <w:jc w:val="both"/>
              <w:rPr>
                <w:rFonts w:ascii="Times New Roman" w:eastAsia="SimSun" w:hAnsi="Times New Roman" w:cs="Times New Roman"/>
                <w:sz w:val="20"/>
                <w:szCs w:val="20"/>
              </w:rPr>
            </w:pPr>
            <w:r w:rsidRPr="00830E44">
              <w:rPr>
                <w:rFonts w:ascii="Times New Roman" w:eastAsia="SimSun" w:hAnsi="Times New Roman" w:cs="Times New Roman"/>
                <w:sz w:val="20"/>
                <w:szCs w:val="20"/>
              </w:rPr>
              <w:t>1.</w:t>
            </w:r>
          </w:p>
        </w:tc>
        <w:tc>
          <w:tcPr>
            <w:tcW w:w="1915" w:type="dxa"/>
            <w:tcBorders>
              <w:top w:val="single" w:sz="4" w:space="0" w:color="auto"/>
            </w:tcBorders>
          </w:tcPr>
          <w:p w14:paraId="0D243899" w14:textId="32FA8884"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Economy Growth</w:t>
            </w:r>
          </w:p>
        </w:tc>
        <w:tc>
          <w:tcPr>
            <w:tcW w:w="1399" w:type="dxa"/>
            <w:tcBorders>
              <w:top w:val="single" w:sz="4" w:space="0" w:color="auto"/>
            </w:tcBorders>
          </w:tcPr>
          <w:p w14:paraId="419BEEB8" w14:textId="6DB6B1C8" w:rsidR="00830E44" w:rsidRPr="00830E44" w:rsidRDefault="00830E44" w:rsidP="00830E44">
            <w:pPr>
              <w:spacing w:after="100" w:afterAutospacing="1"/>
              <w:jc w:val="center"/>
              <w:rPr>
                <w:rFonts w:ascii="Times New Roman" w:eastAsia="SimSun" w:hAnsi="Times New Roman" w:cs="Times New Roman"/>
                <w:sz w:val="20"/>
                <w:szCs w:val="20"/>
              </w:rPr>
            </w:pPr>
            <w:r>
              <w:rPr>
                <w:rFonts w:ascii="Times New Roman" w:eastAsia="SimSun" w:hAnsi="Times New Roman" w:cs="Times New Roman"/>
                <w:sz w:val="20"/>
                <w:szCs w:val="20"/>
              </w:rPr>
              <w:t>EG</w:t>
            </w:r>
          </w:p>
        </w:tc>
        <w:tc>
          <w:tcPr>
            <w:tcW w:w="1190" w:type="dxa"/>
            <w:tcBorders>
              <w:top w:val="single" w:sz="4" w:space="0" w:color="auto"/>
            </w:tcBorders>
          </w:tcPr>
          <w:p w14:paraId="1621D7F9" w14:textId="3F908EAC"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Yearly</w:t>
            </w:r>
          </w:p>
        </w:tc>
        <w:tc>
          <w:tcPr>
            <w:tcW w:w="1124" w:type="dxa"/>
            <w:tcBorders>
              <w:top w:val="single" w:sz="4" w:space="0" w:color="auto"/>
            </w:tcBorders>
          </w:tcPr>
          <w:p w14:paraId="2B6717BE" w14:textId="4D68BAE5"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Percentage</w:t>
            </w:r>
          </w:p>
        </w:tc>
        <w:tc>
          <w:tcPr>
            <w:tcW w:w="1260" w:type="dxa"/>
            <w:tcBorders>
              <w:top w:val="single" w:sz="4" w:space="0" w:color="auto"/>
            </w:tcBorders>
          </w:tcPr>
          <w:p w14:paraId="2D0694EA" w14:textId="77777777" w:rsidR="00830E44" w:rsidRPr="00830E44" w:rsidRDefault="00830E44" w:rsidP="00830E44">
            <w:pPr>
              <w:spacing w:after="100" w:afterAutospacing="1"/>
              <w:jc w:val="both"/>
              <w:rPr>
                <w:rFonts w:ascii="Times New Roman" w:eastAsia="SimSun" w:hAnsi="Times New Roman" w:cs="Times New Roman"/>
                <w:i/>
                <w:sz w:val="20"/>
                <w:szCs w:val="20"/>
              </w:rPr>
            </w:pPr>
            <w:r w:rsidRPr="00830E44">
              <w:rPr>
                <w:rFonts w:ascii="Times New Roman" w:eastAsia="SimSun" w:hAnsi="Times New Roman" w:cs="Times New Roman"/>
                <w:i/>
                <w:sz w:val="20"/>
                <w:szCs w:val="20"/>
              </w:rPr>
              <w:t>World Bank</w:t>
            </w:r>
          </w:p>
        </w:tc>
      </w:tr>
      <w:tr w:rsidR="00830E44" w:rsidRPr="00830E44" w14:paraId="65EEA9BC" w14:textId="77777777" w:rsidTr="00830E44">
        <w:tc>
          <w:tcPr>
            <w:tcW w:w="601" w:type="dxa"/>
          </w:tcPr>
          <w:p w14:paraId="35BA7ACE" w14:textId="77777777" w:rsidR="00830E44" w:rsidRPr="00830E44" w:rsidRDefault="00830E44" w:rsidP="00830E44">
            <w:pPr>
              <w:spacing w:after="100" w:afterAutospacing="1"/>
              <w:jc w:val="both"/>
              <w:rPr>
                <w:rFonts w:ascii="Times New Roman" w:eastAsia="SimSun" w:hAnsi="Times New Roman" w:cs="Times New Roman"/>
                <w:sz w:val="20"/>
                <w:szCs w:val="20"/>
              </w:rPr>
            </w:pPr>
            <w:r w:rsidRPr="00830E44">
              <w:rPr>
                <w:rFonts w:ascii="Times New Roman" w:eastAsia="SimSun" w:hAnsi="Times New Roman" w:cs="Times New Roman"/>
                <w:sz w:val="20"/>
                <w:szCs w:val="20"/>
              </w:rPr>
              <w:t>2.</w:t>
            </w:r>
          </w:p>
        </w:tc>
        <w:tc>
          <w:tcPr>
            <w:tcW w:w="1915" w:type="dxa"/>
          </w:tcPr>
          <w:p w14:paraId="4E05F565" w14:textId="5DE5EF19"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Economic Globalization </w:t>
            </w:r>
          </w:p>
        </w:tc>
        <w:tc>
          <w:tcPr>
            <w:tcW w:w="1399" w:type="dxa"/>
          </w:tcPr>
          <w:p w14:paraId="55A4053F" w14:textId="77777777" w:rsidR="00830E44" w:rsidRPr="00830E44" w:rsidRDefault="00830E44" w:rsidP="00830E44">
            <w:pPr>
              <w:spacing w:after="100" w:afterAutospacing="1"/>
              <w:jc w:val="center"/>
              <w:rPr>
                <w:rFonts w:ascii="Times New Roman" w:eastAsia="SimSun" w:hAnsi="Times New Roman" w:cs="Times New Roman"/>
                <w:sz w:val="20"/>
                <w:szCs w:val="20"/>
              </w:rPr>
            </w:pPr>
            <w:r w:rsidRPr="00830E44">
              <w:rPr>
                <w:rFonts w:ascii="Times New Roman" w:eastAsia="SimSun" w:hAnsi="Times New Roman" w:cs="Times New Roman"/>
                <w:sz w:val="20"/>
                <w:szCs w:val="20"/>
              </w:rPr>
              <w:t>ECO</w:t>
            </w:r>
          </w:p>
        </w:tc>
        <w:tc>
          <w:tcPr>
            <w:tcW w:w="1190" w:type="dxa"/>
          </w:tcPr>
          <w:p w14:paraId="106A2EC3" w14:textId="751ECF01"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Yearly</w:t>
            </w:r>
          </w:p>
        </w:tc>
        <w:tc>
          <w:tcPr>
            <w:tcW w:w="1124" w:type="dxa"/>
          </w:tcPr>
          <w:p w14:paraId="54909F64" w14:textId="20145D16"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Percentage</w:t>
            </w:r>
          </w:p>
        </w:tc>
        <w:tc>
          <w:tcPr>
            <w:tcW w:w="1260" w:type="dxa"/>
          </w:tcPr>
          <w:p w14:paraId="4B3FB424" w14:textId="77777777" w:rsidR="00830E44" w:rsidRPr="00830E44" w:rsidRDefault="00830E44" w:rsidP="00830E44">
            <w:pPr>
              <w:spacing w:after="100" w:afterAutospacing="1"/>
              <w:jc w:val="both"/>
              <w:rPr>
                <w:rFonts w:ascii="Times New Roman" w:eastAsia="SimSun" w:hAnsi="Times New Roman" w:cs="Times New Roman"/>
                <w:sz w:val="20"/>
                <w:szCs w:val="20"/>
              </w:rPr>
            </w:pPr>
            <w:r w:rsidRPr="00830E44">
              <w:rPr>
                <w:rFonts w:ascii="Times New Roman" w:eastAsia="SimSun" w:hAnsi="Times New Roman" w:cs="Times New Roman"/>
                <w:sz w:val="20"/>
                <w:szCs w:val="20"/>
              </w:rPr>
              <w:t>ETH Zurich</w:t>
            </w:r>
          </w:p>
        </w:tc>
      </w:tr>
      <w:tr w:rsidR="00830E44" w:rsidRPr="00830E44" w14:paraId="0BD59D83" w14:textId="77777777" w:rsidTr="00830E44">
        <w:tc>
          <w:tcPr>
            <w:tcW w:w="601" w:type="dxa"/>
          </w:tcPr>
          <w:p w14:paraId="6C2428F7" w14:textId="47024781"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3</w:t>
            </w:r>
            <w:r w:rsidRPr="00830E44">
              <w:rPr>
                <w:rFonts w:ascii="Times New Roman" w:eastAsia="SimSun" w:hAnsi="Times New Roman" w:cs="Times New Roman"/>
                <w:sz w:val="20"/>
                <w:szCs w:val="20"/>
              </w:rPr>
              <w:t>.</w:t>
            </w:r>
          </w:p>
        </w:tc>
        <w:tc>
          <w:tcPr>
            <w:tcW w:w="1915" w:type="dxa"/>
          </w:tcPr>
          <w:p w14:paraId="42447335" w14:textId="4114E51B"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Government Expenditure</w:t>
            </w:r>
          </w:p>
        </w:tc>
        <w:tc>
          <w:tcPr>
            <w:tcW w:w="1399" w:type="dxa"/>
          </w:tcPr>
          <w:p w14:paraId="57048C3F" w14:textId="77777777" w:rsidR="00830E44" w:rsidRPr="00830E44" w:rsidRDefault="00830E44" w:rsidP="00830E44">
            <w:pPr>
              <w:spacing w:after="100" w:afterAutospacing="1"/>
              <w:jc w:val="center"/>
              <w:rPr>
                <w:rFonts w:ascii="Times New Roman" w:eastAsia="SimSun" w:hAnsi="Times New Roman" w:cs="Times New Roman"/>
                <w:sz w:val="20"/>
                <w:szCs w:val="20"/>
              </w:rPr>
            </w:pPr>
            <w:r w:rsidRPr="00830E44">
              <w:rPr>
                <w:rFonts w:ascii="Times New Roman" w:eastAsia="SimSun" w:hAnsi="Times New Roman" w:cs="Times New Roman"/>
                <w:sz w:val="20"/>
                <w:szCs w:val="20"/>
              </w:rPr>
              <w:t>GOV</w:t>
            </w:r>
          </w:p>
        </w:tc>
        <w:tc>
          <w:tcPr>
            <w:tcW w:w="1190" w:type="dxa"/>
          </w:tcPr>
          <w:p w14:paraId="64853E7A" w14:textId="0D1A703B"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Yearly</w:t>
            </w:r>
          </w:p>
        </w:tc>
        <w:tc>
          <w:tcPr>
            <w:tcW w:w="1124" w:type="dxa"/>
          </w:tcPr>
          <w:p w14:paraId="66BAB63E" w14:textId="53F90390" w:rsidR="00830E44" w:rsidRPr="00830E44" w:rsidRDefault="00830E44" w:rsidP="00830E44">
            <w:pPr>
              <w:spacing w:after="100" w:afterAutospacing="1"/>
              <w:jc w:val="both"/>
              <w:rPr>
                <w:rFonts w:ascii="Times New Roman" w:eastAsia="SimSun" w:hAnsi="Times New Roman" w:cs="Times New Roman"/>
                <w:sz w:val="20"/>
                <w:szCs w:val="20"/>
              </w:rPr>
            </w:pPr>
            <w:r>
              <w:rPr>
                <w:rFonts w:ascii="Times New Roman" w:eastAsia="SimSun" w:hAnsi="Times New Roman" w:cs="Times New Roman"/>
                <w:sz w:val="20"/>
                <w:szCs w:val="20"/>
              </w:rPr>
              <w:t>Percentage</w:t>
            </w:r>
          </w:p>
        </w:tc>
        <w:tc>
          <w:tcPr>
            <w:tcW w:w="1260" w:type="dxa"/>
          </w:tcPr>
          <w:p w14:paraId="23EE6641" w14:textId="77777777" w:rsidR="00830E44" w:rsidRPr="00830E44" w:rsidRDefault="00830E44" w:rsidP="00830E44">
            <w:pPr>
              <w:spacing w:after="100" w:afterAutospacing="1"/>
              <w:jc w:val="both"/>
              <w:rPr>
                <w:rFonts w:ascii="Times New Roman" w:eastAsia="SimSun" w:hAnsi="Times New Roman" w:cs="Times New Roman"/>
                <w:sz w:val="20"/>
                <w:szCs w:val="20"/>
              </w:rPr>
            </w:pPr>
            <w:r w:rsidRPr="00830E44">
              <w:rPr>
                <w:rFonts w:ascii="Times New Roman" w:eastAsia="SimSun" w:hAnsi="Times New Roman" w:cs="Times New Roman"/>
                <w:i/>
                <w:sz w:val="20"/>
                <w:szCs w:val="20"/>
              </w:rPr>
              <w:t>World Bank</w:t>
            </w:r>
          </w:p>
        </w:tc>
      </w:tr>
      <w:tr w:rsidR="00830E44" w:rsidRPr="00830E44" w14:paraId="684E5BF6" w14:textId="77777777" w:rsidTr="00830E44">
        <w:trPr>
          <w:trHeight w:val="77"/>
        </w:trPr>
        <w:tc>
          <w:tcPr>
            <w:tcW w:w="601" w:type="dxa"/>
            <w:tcBorders>
              <w:bottom w:val="single" w:sz="4" w:space="0" w:color="auto"/>
            </w:tcBorders>
          </w:tcPr>
          <w:p w14:paraId="1D087286" w14:textId="642D038C" w:rsidR="00830E44" w:rsidRPr="00830E44" w:rsidRDefault="00830E44" w:rsidP="00830E44">
            <w:pPr>
              <w:spacing w:after="100" w:afterAutospacing="1"/>
              <w:jc w:val="both"/>
              <w:rPr>
                <w:rFonts w:ascii="Times New Roman" w:eastAsia="SimSun" w:hAnsi="Times New Roman" w:cs="Times New Roman"/>
                <w:sz w:val="20"/>
                <w:szCs w:val="20"/>
              </w:rPr>
            </w:pPr>
          </w:p>
        </w:tc>
        <w:tc>
          <w:tcPr>
            <w:tcW w:w="1915" w:type="dxa"/>
            <w:tcBorders>
              <w:bottom w:val="single" w:sz="4" w:space="0" w:color="auto"/>
            </w:tcBorders>
          </w:tcPr>
          <w:p w14:paraId="681E408A" w14:textId="53119279" w:rsidR="00830E44" w:rsidRPr="00830E44" w:rsidRDefault="00830E44" w:rsidP="00830E44">
            <w:pPr>
              <w:spacing w:after="100" w:afterAutospacing="1"/>
              <w:jc w:val="both"/>
              <w:rPr>
                <w:rFonts w:ascii="Times New Roman" w:eastAsia="SimSun" w:hAnsi="Times New Roman" w:cs="Times New Roman"/>
                <w:sz w:val="20"/>
                <w:szCs w:val="20"/>
              </w:rPr>
            </w:pPr>
          </w:p>
        </w:tc>
        <w:tc>
          <w:tcPr>
            <w:tcW w:w="1399" w:type="dxa"/>
            <w:tcBorders>
              <w:bottom w:val="single" w:sz="4" w:space="0" w:color="auto"/>
            </w:tcBorders>
          </w:tcPr>
          <w:p w14:paraId="6B9EE15F" w14:textId="563BE6C9" w:rsidR="00830E44" w:rsidRPr="00830E44" w:rsidRDefault="00830E44" w:rsidP="00830E44">
            <w:pPr>
              <w:spacing w:after="100" w:afterAutospacing="1"/>
              <w:rPr>
                <w:rFonts w:ascii="Times New Roman" w:eastAsia="SimSun" w:hAnsi="Times New Roman" w:cs="Times New Roman"/>
                <w:sz w:val="20"/>
                <w:szCs w:val="20"/>
              </w:rPr>
            </w:pPr>
          </w:p>
        </w:tc>
        <w:tc>
          <w:tcPr>
            <w:tcW w:w="1190" w:type="dxa"/>
            <w:tcBorders>
              <w:bottom w:val="single" w:sz="4" w:space="0" w:color="auto"/>
            </w:tcBorders>
          </w:tcPr>
          <w:p w14:paraId="4938E14A" w14:textId="5C26C40C" w:rsidR="00830E44" w:rsidRPr="00830E44" w:rsidRDefault="00830E44" w:rsidP="00830E44">
            <w:pPr>
              <w:spacing w:after="100" w:afterAutospacing="1"/>
              <w:jc w:val="both"/>
              <w:rPr>
                <w:rFonts w:ascii="Times New Roman" w:eastAsia="SimSun" w:hAnsi="Times New Roman" w:cs="Times New Roman"/>
                <w:sz w:val="20"/>
                <w:szCs w:val="20"/>
              </w:rPr>
            </w:pPr>
          </w:p>
        </w:tc>
        <w:tc>
          <w:tcPr>
            <w:tcW w:w="1124" w:type="dxa"/>
            <w:tcBorders>
              <w:bottom w:val="single" w:sz="4" w:space="0" w:color="auto"/>
            </w:tcBorders>
          </w:tcPr>
          <w:p w14:paraId="26279D64" w14:textId="40F3984E" w:rsidR="00830E44" w:rsidRPr="00830E44" w:rsidRDefault="00830E44" w:rsidP="00830E44">
            <w:pPr>
              <w:spacing w:after="100" w:afterAutospacing="1"/>
              <w:jc w:val="both"/>
              <w:rPr>
                <w:rFonts w:ascii="Times New Roman" w:eastAsia="SimSun" w:hAnsi="Times New Roman" w:cs="Times New Roman"/>
                <w:sz w:val="20"/>
                <w:szCs w:val="20"/>
              </w:rPr>
            </w:pPr>
          </w:p>
        </w:tc>
        <w:tc>
          <w:tcPr>
            <w:tcW w:w="1260" w:type="dxa"/>
            <w:tcBorders>
              <w:bottom w:val="single" w:sz="4" w:space="0" w:color="auto"/>
            </w:tcBorders>
          </w:tcPr>
          <w:p w14:paraId="58CDC012" w14:textId="5BCC1FFA" w:rsidR="00830E44" w:rsidRPr="00830E44" w:rsidRDefault="00830E44" w:rsidP="00830E44">
            <w:pPr>
              <w:spacing w:after="100" w:afterAutospacing="1"/>
              <w:jc w:val="both"/>
              <w:rPr>
                <w:rFonts w:ascii="Times New Roman" w:eastAsia="SimSun" w:hAnsi="Times New Roman" w:cs="Times New Roman"/>
                <w:i/>
                <w:sz w:val="20"/>
                <w:szCs w:val="20"/>
              </w:rPr>
            </w:pPr>
          </w:p>
        </w:tc>
      </w:tr>
    </w:tbl>
    <w:p w14:paraId="0EC071B9" w14:textId="0063F007" w:rsidR="00FC15B8" w:rsidRPr="00FC15B8" w:rsidRDefault="00FC15B8" w:rsidP="00830E44">
      <w:pPr>
        <w:jc w:val="both"/>
        <w:rPr>
          <w:rFonts w:eastAsia="Times"/>
        </w:rPr>
      </w:pPr>
    </w:p>
    <w:p w14:paraId="6069557F" w14:textId="42435381" w:rsidR="00FC15B8" w:rsidRPr="00830E44" w:rsidRDefault="00FC15B8" w:rsidP="00FC15B8">
      <w:pPr>
        <w:ind w:firstLine="360"/>
        <w:jc w:val="both"/>
        <w:rPr>
          <w:rFonts w:eastAsia="Times"/>
        </w:rPr>
      </w:pPr>
      <w:r w:rsidRPr="00830E44">
        <w:rPr>
          <w:rFonts w:eastAsia="Times"/>
        </w:rPr>
        <w:t>To obtain a general picture of the results of this study and in the framework of testing hypotheses as a temporary answer to the solution of the proposed problems can be seen through the equation of function:</w:t>
      </w:r>
    </w:p>
    <w:p w14:paraId="3FB06E58" w14:textId="1DF86548" w:rsidR="00FC15B8" w:rsidRPr="00830E44" w:rsidRDefault="00FC15B8" w:rsidP="001B1E4E">
      <w:pPr>
        <w:jc w:val="both"/>
        <w:rPr>
          <w:rFonts w:eastAsia="Times"/>
          <w:b/>
        </w:rPr>
      </w:pPr>
    </w:p>
    <w:p w14:paraId="7BC4AF52" w14:textId="50FDCE54" w:rsidR="00830E44" w:rsidRPr="00830E44" w:rsidRDefault="00830E44" w:rsidP="00830E44">
      <w:pPr>
        <w:pStyle w:val="ListParagraph"/>
        <w:jc w:val="both"/>
        <w:rPr>
          <w:lang w:val="id-ID"/>
        </w:rPr>
      </w:pPr>
      <m:oMath>
        <m:r>
          <w:rPr>
            <w:rFonts w:ascii="Cambria Math" w:hAnsi="Cambria Math"/>
            <w:lang w:val="id-ID"/>
          </w:rPr>
          <m:t>E</m:t>
        </m:r>
        <m:r>
          <w:rPr>
            <w:rFonts w:ascii="Cambria Math" w:hAnsi="Cambria Math"/>
            <w:lang w:val="id-ID"/>
          </w:rPr>
          <m:t>G</m:t>
        </m:r>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0</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1</m:t>
            </m:r>
          </m:sub>
        </m:sSub>
        <m:sSub>
          <m:sSubPr>
            <m:ctrlPr>
              <w:rPr>
                <w:rFonts w:ascii="Cambria Math" w:hAnsi="Cambria Math"/>
                <w:i/>
                <w:lang w:val="id-ID"/>
              </w:rPr>
            </m:ctrlPr>
          </m:sSubPr>
          <m:e>
            <m:r>
              <w:rPr>
                <w:rFonts w:ascii="Cambria Math" w:hAnsi="Cambria Math"/>
                <w:lang w:val="id-ID"/>
              </w:rPr>
              <m:t>ECO</m:t>
            </m:r>
          </m:e>
          <m:sub>
            <m:r>
              <w:rPr>
                <w:rFonts w:ascii="Cambria Math" w:hAnsi="Cambria Math"/>
                <w:lang w:val="id-ID"/>
              </w:rPr>
              <m:t>1t</m:t>
            </m:r>
          </m:sub>
        </m:sSub>
        <m:r>
          <w:rPr>
            <w:rFonts w:ascii="Cambria Math" w:hAnsi="Cambria Math"/>
            <w:lang w:val="id-ID"/>
          </w:rPr>
          <m:t>+μ</m:t>
        </m:r>
      </m:oMath>
      <w:r w:rsidRPr="00830E44">
        <w:rPr>
          <w:rFonts w:eastAsia="Calibri"/>
          <w:lang w:val="id-ID"/>
        </w:rPr>
        <w:t xml:space="preserve"> </w:t>
      </w:r>
    </w:p>
    <w:p w14:paraId="4386D187" w14:textId="77777777" w:rsidR="00830E44" w:rsidRPr="00830E44" w:rsidRDefault="00830E44" w:rsidP="00830E44">
      <w:pPr>
        <w:ind w:firstLine="720"/>
        <w:rPr>
          <w:lang w:val="id-ID"/>
        </w:rPr>
      </w:pPr>
      <w:r w:rsidRPr="00830E44">
        <w:rPr>
          <w:lang w:val="id-ID"/>
        </w:rPr>
        <w:t>where:</w:t>
      </w:r>
    </w:p>
    <w:p w14:paraId="262101E2" w14:textId="292D07FD" w:rsidR="00830E44" w:rsidRPr="00830E44" w:rsidRDefault="00830E44" w:rsidP="00830E44">
      <w:pPr>
        <w:pStyle w:val="NormalWeb"/>
        <w:spacing w:before="0" w:beforeAutospacing="0" w:after="0" w:afterAutospacing="0"/>
        <w:ind w:firstLine="720"/>
        <w:jc w:val="both"/>
        <w:rPr>
          <w:sz w:val="20"/>
          <w:szCs w:val="20"/>
          <w:lang w:val="id-ID"/>
        </w:rPr>
      </w:pPr>
      <m:oMath>
        <m:r>
          <w:rPr>
            <w:rFonts w:ascii="Cambria Math" w:eastAsiaTheme="minorEastAsia" w:hAnsi="Cambria Math"/>
            <w:sz w:val="20"/>
            <w:szCs w:val="20"/>
            <w:lang w:val="id-ID"/>
          </w:rPr>
          <m:t>EG</m:t>
        </m:r>
      </m:oMath>
      <w:r w:rsidRPr="00830E44">
        <w:rPr>
          <w:sz w:val="20"/>
          <w:szCs w:val="20"/>
          <w:lang w:val="id-ID"/>
        </w:rPr>
        <w:t xml:space="preserve">       </w:t>
      </w:r>
      <w:r w:rsidRPr="00830E44">
        <w:rPr>
          <w:sz w:val="20"/>
          <w:szCs w:val="20"/>
        </w:rPr>
        <w:t xml:space="preserve"> </w:t>
      </w:r>
      <w:r w:rsidRPr="00830E44">
        <w:rPr>
          <w:sz w:val="20"/>
          <w:szCs w:val="20"/>
          <w:lang w:val="id-ID"/>
        </w:rPr>
        <w:t xml:space="preserve"> </w:t>
      </w:r>
      <w:r w:rsidRPr="00830E44">
        <w:rPr>
          <w:sz w:val="20"/>
          <w:szCs w:val="20"/>
        </w:rPr>
        <w:t xml:space="preserve"> </w:t>
      </w:r>
      <w:r w:rsidRPr="00830E44">
        <w:rPr>
          <w:sz w:val="20"/>
          <w:szCs w:val="20"/>
          <w:lang w:val="id-ID"/>
        </w:rPr>
        <w:t>= economic growth (percent)</w:t>
      </w:r>
    </w:p>
    <w:p w14:paraId="5B520CC6" w14:textId="79207A46" w:rsidR="00830E44" w:rsidRPr="00830E44" w:rsidRDefault="00830E44" w:rsidP="00830E44">
      <w:pPr>
        <w:pStyle w:val="NormalWeb"/>
        <w:spacing w:before="0" w:beforeAutospacing="0" w:after="0" w:afterAutospacing="0"/>
        <w:ind w:firstLine="720"/>
        <w:jc w:val="both"/>
        <w:rPr>
          <w:sz w:val="20"/>
          <w:szCs w:val="20"/>
          <w:lang w:val="id-ID"/>
        </w:rPr>
      </w:pPr>
      <m:oMath>
        <m:r>
          <w:rPr>
            <w:rFonts w:ascii="Cambria Math" w:eastAsiaTheme="minorEastAsia" w:hAnsi="Cambria Math"/>
            <w:sz w:val="20"/>
            <w:szCs w:val="20"/>
            <w:lang w:val="id-ID"/>
          </w:rPr>
          <m:t>ECO</m:t>
        </m:r>
      </m:oMath>
      <w:r w:rsidRPr="00830E44">
        <w:rPr>
          <w:sz w:val="20"/>
          <w:szCs w:val="20"/>
          <w:lang w:val="id-ID"/>
        </w:rPr>
        <w:t xml:space="preserve">     </w:t>
      </w:r>
      <w:r w:rsidRPr="00830E44">
        <w:rPr>
          <w:sz w:val="20"/>
          <w:szCs w:val="20"/>
          <w:lang w:val="id-ID"/>
        </w:rPr>
        <w:t xml:space="preserve"> </w:t>
      </w:r>
      <w:r w:rsidRPr="00830E44">
        <w:rPr>
          <w:sz w:val="20"/>
          <w:szCs w:val="20"/>
          <w:lang w:val="id-ID"/>
        </w:rPr>
        <w:t xml:space="preserve"> </w:t>
      </w:r>
      <w:r w:rsidRPr="00830E44">
        <w:rPr>
          <w:sz w:val="20"/>
          <w:szCs w:val="20"/>
          <w:lang w:val="id-ID"/>
        </w:rPr>
        <w:t>= economic globalization (index)</w:t>
      </w:r>
    </w:p>
    <w:p w14:paraId="75C0E151" w14:textId="617C3119" w:rsidR="00830E44" w:rsidRPr="00830E44" w:rsidRDefault="00830E44" w:rsidP="00830E44">
      <w:pPr>
        <w:ind w:firstLine="720"/>
        <w:rPr>
          <w:lang w:val="id-ID"/>
        </w:rPr>
      </w:pPr>
      <w:r w:rsidRPr="00830E44">
        <w:rPr>
          <w:lang w:val="id-ID"/>
        </w:rPr>
        <w:t xml:space="preserve">t  </w:t>
      </w:r>
      <w:r w:rsidRPr="00830E44">
        <w:rPr>
          <w:lang w:val="id-ID"/>
        </w:rPr>
        <w:tab/>
      </w:r>
      <w:r w:rsidRPr="00830E44">
        <w:rPr>
          <w:lang w:val="id-ID"/>
        </w:rPr>
        <w:t xml:space="preserve">  = 1, 2, . . . t, showing the dimensions of the time demand (</w:t>
      </w:r>
      <w:r w:rsidRPr="00830E44">
        <w:rPr>
          <w:i/>
          <w:lang w:val="id-ID"/>
        </w:rPr>
        <w:t xml:space="preserve">time </w:t>
      </w:r>
      <w:r w:rsidRPr="00830E44">
        <w:rPr>
          <w:i/>
          <w:lang w:val="id-ID"/>
        </w:rPr>
        <w:t>series</w:t>
      </w:r>
      <w:r w:rsidRPr="00830E44">
        <w:rPr>
          <w:lang w:val="en-US"/>
        </w:rPr>
        <w:t>)</w:t>
      </w:r>
    </w:p>
    <w:p w14:paraId="0390D505" w14:textId="6980247B" w:rsidR="00830E44" w:rsidRPr="00830E44" w:rsidRDefault="00830E44" w:rsidP="00830E44">
      <w:pPr>
        <w:pStyle w:val="NormalWeb"/>
        <w:spacing w:before="0" w:beforeAutospacing="0" w:after="0" w:afterAutospacing="0"/>
        <w:ind w:left="1170" w:hanging="450"/>
        <w:jc w:val="both"/>
        <w:rPr>
          <w:sz w:val="20"/>
          <w:szCs w:val="20"/>
          <w:lang w:val="id-ID"/>
        </w:rPr>
      </w:pPr>
      <m:oMath>
        <m:sSub>
          <m:sSubPr>
            <m:ctrlPr>
              <w:rPr>
                <w:rFonts w:ascii="Cambria Math" w:eastAsiaTheme="minorEastAsia" w:hAnsi="Cambria Math"/>
                <w:i/>
                <w:sz w:val="20"/>
                <w:szCs w:val="20"/>
                <w:lang w:val="id-ID"/>
              </w:rPr>
            </m:ctrlPr>
          </m:sSubPr>
          <m:e>
            <m:r>
              <w:rPr>
                <w:rFonts w:ascii="Cambria Math" w:eastAsiaTheme="minorEastAsia" w:hAnsi="Cambria Math"/>
                <w:sz w:val="20"/>
                <w:szCs w:val="20"/>
                <w:lang w:val="id-ID"/>
              </w:rPr>
              <m:t>β</m:t>
            </m:r>
          </m:e>
          <m:sub>
            <m:r>
              <w:rPr>
                <w:rFonts w:ascii="Cambria Math" w:eastAsiaTheme="minorEastAsia" w:hAnsi="Cambria Math"/>
                <w:sz w:val="20"/>
                <w:szCs w:val="20"/>
                <w:lang w:val="id-ID"/>
              </w:rPr>
              <m:t>0</m:t>
            </m:r>
          </m:sub>
        </m:sSub>
      </m:oMath>
      <w:r w:rsidRPr="00830E44">
        <w:rPr>
          <w:sz w:val="20"/>
          <w:szCs w:val="20"/>
          <w:lang w:val="id-ID"/>
        </w:rPr>
        <w:t xml:space="preserve">  </w:t>
      </w:r>
      <w:r w:rsidRPr="00830E44">
        <w:rPr>
          <w:sz w:val="20"/>
          <w:szCs w:val="20"/>
          <w:lang w:val="id-ID"/>
        </w:rPr>
        <w:tab/>
      </w:r>
      <w:r w:rsidRPr="00830E44">
        <w:rPr>
          <w:sz w:val="20"/>
          <w:szCs w:val="20"/>
          <w:lang w:val="id-ID"/>
        </w:rPr>
        <w:tab/>
        <w:t xml:space="preserve">  </w:t>
      </w:r>
      <w:r w:rsidRPr="00830E44">
        <w:rPr>
          <w:sz w:val="20"/>
          <w:szCs w:val="20"/>
          <w:lang w:val="id-ID"/>
        </w:rPr>
        <w:t>= constant</w:t>
      </w:r>
    </w:p>
    <w:p w14:paraId="6648C634" w14:textId="62E60868" w:rsidR="00830E44" w:rsidRPr="00830E44" w:rsidRDefault="00830E44" w:rsidP="00830E44">
      <w:pPr>
        <w:pStyle w:val="NormalWeb"/>
        <w:tabs>
          <w:tab w:val="left" w:pos="630"/>
        </w:tabs>
        <w:spacing w:before="0" w:beforeAutospacing="0" w:after="0" w:afterAutospacing="0"/>
        <w:ind w:left="2700" w:hanging="2700"/>
        <w:jc w:val="both"/>
        <w:rPr>
          <w:sz w:val="20"/>
          <w:szCs w:val="20"/>
          <w:lang w:val="id-ID"/>
        </w:rPr>
      </w:pPr>
      <w:r w:rsidRPr="00830E44">
        <w:rPr>
          <w:sz w:val="20"/>
          <w:szCs w:val="20"/>
          <w:lang w:val="id-ID"/>
        </w:rPr>
        <w:tab/>
      </w:r>
      <w:r w:rsidRPr="00830E44">
        <w:rPr>
          <w:sz w:val="20"/>
          <w:szCs w:val="20"/>
        </w:rPr>
        <w:t xml:space="preserve"> </w:t>
      </w:r>
      <m:oMath>
        <m:sSub>
          <m:sSubPr>
            <m:ctrlPr>
              <w:rPr>
                <w:rFonts w:ascii="Cambria Math" w:eastAsiaTheme="minorEastAsia" w:hAnsi="Cambria Math"/>
                <w:i/>
                <w:sz w:val="20"/>
                <w:szCs w:val="20"/>
                <w:lang w:val="id-ID"/>
              </w:rPr>
            </m:ctrlPr>
          </m:sSubPr>
          <m:e>
            <m:r>
              <w:rPr>
                <w:rFonts w:ascii="Cambria Math" w:eastAsiaTheme="minorEastAsia" w:hAnsi="Cambria Math"/>
                <w:sz w:val="20"/>
                <w:szCs w:val="20"/>
                <w:lang w:val="id-ID"/>
              </w:rPr>
              <m:t>β</m:t>
            </m:r>
          </m:e>
          <m:sub>
            <m:r>
              <w:rPr>
                <w:rFonts w:ascii="Cambria Math" w:eastAsiaTheme="minorEastAsia" w:hAnsi="Cambria Math"/>
                <w:sz w:val="20"/>
                <w:szCs w:val="20"/>
                <w:lang w:val="id-ID"/>
              </w:rPr>
              <m:t>1</m:t>
            </m:r>
          </m:sub>
        </m:sSub>
        <m:r>
          <w:rPr>
            <w:rFonts w:ascii="Cambria Math" w:eastAsiaTheme="minorEastAsia" w:hAnsi="Cambria Math"/>
            <w:sz w:val="20"/>
            <w:szCs w:val="20"/>
            <w:lang w:val="id-ID"/>
          </w:rPr>
          <m:t xml:space="preserve"> </m:t>
        </m:r>
      </m:oMath>
      <w:r w:rsidRPr="00830E44">
        <w:rPr>
          <w:sz w:val="20"/>
          <w:szCs w:val="20"/>
          <w:lang w:val="id-ID"/>
        </w:rPr>
        <w:t xml:space="preserve">           </w:t>
      </w:r>
      <w:r w:rsidRPr="00830E44">
        <w:rPr>
          <w:sz w:val="20"/>
          <w:szCs w:val="20"/>
          <w:lang w:val="id-ID"/>
        </w:rPr>
        <w:t>= regression coefficient to economic growth</w:t>
      </w:r>
    </w:p>
    <w:p w14:paraId="10E8AB3C" w14:textId="1EDC47BD" w:rsidR="00830E44" w:rsidRPr="00830E44" w:rsidRDefault="00830E44" w:rsidP="00830E44">
      <w:pPr>
        <w:pStyle w:val="NormalWeb"/>
        <w:spacing w:before="0" w:beforeAutospacing="0" w:after="0" w:afterAutospacing="0"/>
        <w:ind w:firstLine="720"/>
        <w:jc w:val="both"/>
        <w:rPr>
          <w:sz w:val="20"/>
          <w:szCs w:val="20"/>
          <w:lang w:val="id-ID"/>
        </w:rPr>
      </w:pPr>
      <m:oMath>
        <m:r>
          <w:rPr>
            <w:rFonts w:ascii="Cambria Math" w:eastAsiaTheme="minorEastAsia" w:hAnsi="Cambria Math"/>
            <w:sz w:val="20"/>
            <w:szCs w:val="20"/>
            <w:lang w:val="id-ID"/>
          </w:rPr>
          <m:t>μ</m:t>
        </m:r>
      </m:oMath>
      <w:r w:rsidRPr="00830E44">
        <w:rPr>
          <w:sz w:val="20"/>
          <w:szCs w:val="20"/>
          <w:lang w:val="id-ID"/>
        </w:rPr>
        <w:tab/>
      </w:r>
      <w:r w:rsidRPr="00830E44">
        <w:rPr>
          <w:sz w:val="20"/>
          <w:szCs w:val="20"/>
          <w:lang w:val="id-ID"/>
        </w:rPr>
        <w:t xml:space="preserve">  = error term</w:t>
      </w:r>
    </w:p>
    <w:p w14:paraId="0E64BA92" w14:textId="77777777" w:rsidR="00830E44" w:rsidRPr="00830E44" w:rsidRDefault="00830E44" w:rsidP="00830E44">
      <w:pPr>
        <w:pStyle w:val="NormalWeb"/>
        <w:spacing w:before="0" w:beforeAutospacing="0" w:after="0" w:afterAutospacing="0"/>
        <w:jc w:val="both"/>
        <w:rPr>
          <w:sz w:val="20"/>
          <w:szCs w:val="20"/>
          <w:lang w:val="id-ID"/>
        </w:rPr>
      </w:pPr>
    </w:p>
    <w:p w14:paraId="03B8CE84" w14:textId="0DCA0F23" w:rsidR="00830E44" w:rsidRPr="00830E44" w:rsidRDefault="00830E44" w:rsidP="00830E44">
      <w:pPr>
        <w:ind w:firstLine="360"/>
        <w:jc w:val="both"/>
        <w:rPr>
          <w:rFonts w:eastAsia="Times"/>
        </w:rPr>
      </w:pPr>
      <w:r w:rsidRPr="00830E44">
        <w:rPr>
          <w:lang w:val="id-ID"/>
        </w:rPr>
        <w:t xml:space="preserve">Estimation using the method Random Effect Model (REM). Method Random Effect Model (REM) uses a variable approach to distraction (error term) to find out the relationship between cross-individual and time-in-time (Kuncoro, 2011). This tends to see changes between individuals and between times. </w:t>
      </w:r>
      <w:r w:rsidR="0076065F">
        <w:rPr>
          <w:lang w:val="id-ID"/>
        </w:rPr>
        <w:t>The p</w:t>
      </w:r>
      <w:r w:rsidRPr="00830E44">
        <w:rPr>
          <w:lang w:val="id-ID"/>
        </w:rPr>
        <w:t xml:space="preserve">revious modeling was </w:t>
      </w:r>
      <w:r w:rsidR="0076065F">
        <w:rPr>
          <w:lang w:val="id-ID"/>
        </w:rPr>
        <w:t xml:space="preserve">the </w:t>
      </w:r>
      <w:r w:rsidRPr="00830E44">
        <w:rPr>
          <w:lang w:val="id-ID"/>
        </w:rPr>
        <w:t xml:space="preserve">Fixed Effect Model with </w:t>
      </w:r>
      <w:r w:rsidR="0076065F">
        <w:rPr>
          <w:lang w:val="id-ID"/>
        </w:rPr>
        <w:t xml:space="preserve">an </w:t>
      </w:r>
      <w:r w:rsidRPr="00830E44">
        <w:rPr>
          <w:lang w:val="id-ID"/>
        </w:rPr>
        <w:t>extras dummy variable</w:t>
      </w:r>
      <w:r w:rsidR="0076065F">
        <w:rPr>
          <w:lang w:val="id-ID"/>
        </w:rPr>
        <w:t>.</w:t>
      </w:r>
      <w:r w:rsidRPr="00830E44">
        <w:rPr>
          <w:lang w:val="id-ID"/>
        </w:rPr>
        <w:t xml:space="preserve"> It can reduce the number of degrees of freedom (degree of freedom) which ultimately reduces the efficiency of the estimated parameters. So the REM method comes with perfecting the FEM model (Widarjono, 2009). Rem model equation as follows (Gujarati, 2012):</w:t>
      </w:r>
    </w:p>
    <w:p w14:paraId="5D522D95" w14:textId="77777777" w:rsidR="00830E44" w:rsidRPr="00830E44" w:rsidRDefault="00830E44" w:rsidP="001B1E4E">
      <w:pPr>
        <w:jc w:val="both"/>
        <w:rPr>
          <w:rFonts w:eastAsia="Times"/>
          <w:b/>
        </w:rPr>
      </w:pPr>
    </w:p>
    <w:p w14:paraId="18E39797" w14:textId="77777777" w:rsidR="00830E44" w:rsidRPr="00830E44" w:rsidRDefault="00830E44" w:rsidP="00830E44">
      <w:pPr>
        <w:pStyle w:val="ListParagraph"/>
        <w:spacing w:line="276" w:lineRule="auto"/>
        <w:ind w:firstLine="720"/>
        <w:jc w:val="both"/>
        <w:rPr>
          <w:lang w:val="id-ID"/>
        </w:rPr>
      </w:pPr>
      <w:r w:rsidRPr="00830E44">
        <w:rPr>
          <w:rFonts w:ascii="Cambria Math" w:hAnsi="Cambria Math" w:cs="Cambria Math"/>
          <w:lang w:val="id-ID"/>
        </w:rPr>
        <w:t>𝑌</w:t>
      </w:r>
      <w:r w:rsidRPr="00830E44">
        <w:rPr>
          <w:vertAlign w:val="subscript"/>
          <w:lang w:val="id-ID"/>
        </w:rPr>
        <w:t>it</w:t>
      </w:r>
      <w:r w:rsidRPr="00830E44">
        <w:rPr>
          <w:lang w:val="id-ID"/>
        </w:rPr>
        <w:t xml:space="preserve"> = β</w:t>
      </w:r>
      <w:r w:rsidRPr="00830E44">
        <w:rPr>
          <w:vertAlign w:val="subscript"/>
          <w:lang w:val="id-ID"/>
        </w:rPr>
        <w:t>0</w:t>
      </w:r>
      <w:r w:rsidRPr="00830E44">
        <w:rPr>
          <w:lang w:val="id-ID"/>
        </w:rPr>
        <w:t xml:space="preserve"> + β</w:t>
      </w:r>
      <w:r w:rsidRPr="00830E44">
        <w:rPr>
          <w:vertAlign w:val="subscript"/>
          <w:lang w:val="id-ID"/>
        </w:rPr>
        <w:t>1</w:t>
      </w:r>
      <w:r w:rsidRPr="00830E44">
        <w:rPr>
          <w:rFonts w:ascii="Cambria Math" w:hAnsi="Cambria Math" w:cs="Cambria Math"/>
          <w:lang w:val="id-ID"/>
        </w:rPr>
        <w:t>𝑋</w:t>
      </w:r>
      <w:r w:rsidRPr="00830E44">
        <w:rPr>
          <w:vertAlign w:val="subscript"/>
          <w:lang w:val="id-ID"/>
        </w:rPr>
        <w:t>1it</w:t>
      </w:r>
      <w:r w:rsidRPr="00830E44">
        <w:rPr>
          <w:lang w:val="id-ID"/>
        </w:rPr>
        <w:t xml:space="preserve"> + β</w:t>
      </w:r>
      <w:r w:rsidRPr="00830E44">
        <w:rPr>
          <w:vertAlign w:val="subscript"/>
          <w:lang w:val="id-ID"/>
        </w:rPr>
        <w:t>2</w:t>
      </w:r>
      <w:r w:rsidRPr="00830E44">
        <w:rPr>
          <w:rFonts w:ascii="Cambria Math" w:hAnsi="Cambria Math" w:cs="Cambria Math"/>
          <w:lang w:val="id-ID"/>
        </w:rPr>
        <w:t>𝑋</w:t>
      </w:r>
      <w:r w:rsidRPr="00830E44">
        <w:rPr>
          <w:vertAlign w:val="subscript"/>
          <w:lang w:val="id-ID"/>
        </w:rPr>
        <w:t>2it</w:t>
      </w:r>
      <w:r w:rsidRPr="00830E44">
        <w:rPr>
          <w:lang w:val="id-ID"/>
        </w:rPr>
        <w:t xml:space="preserve"> + μ</w:t>
      </w:r>
      <w:r w:rsidRPr="00830E44">
        <w:rPr>
          <w:vertAlign w:val="subscript"/>
          <w:lang w:val="id-ID"/>
        </w:rPr>
        <w:t>it</w:t>
      </w:r>
      <w:r w:rsidRPr="00830E44">
        <w:rPr>
          <w:lang w:val="id-ID"/>
        </w:rPr>
        <w:t xml:space="preserve"> </w:t>
      </w:r>
    </w:p>
    <w:p w14:paraId="7F7ADD6C" w14:textId="77777777" w:rsidR="00830E44" w:rsidRPr="00830E44" w:rsidRDefault="00830E44">
      <w:pPr>
        <w:jc w:val="both"/>
        <w:rPr>
          <w:lang w:val="id-ID"/>
        </w:rPr>
      </w:pPr>
    </w:p>
    <w:p w14:paraId="39571798" w14:textId="198423A0" w:rsidR="00274BE6" w:rsidRPr="00830E44" w:rsidRDefault="00830E44" w:rsidP="00830E44">
      <w:pPr>
        <w:ind w:firstLine="284"/>
        <w:jc w:val="both"/>
        <w:rPr>
          <w:lang w:val="id-ID"/>
        </w:rPr>
      </w:pPr>
      <w:r w:rsidRPr="00830E44">
        <w:rPr>
          <w:lang w:val="id-ID"/>
        </w:rPr>
        <w:t xml:space="preserve">By treating β0 as fixed (fixed), we assume that constants are random variables with average values β. </w:t>
      </w:r>
      <w:r w:rsidR="0076065F">
        <w:rPr>
          <w:lang w:val="id-ID"/>
        </w:rPr>
        <w:t>Moreover,</w:t>
      </w:r>
      <w:r w:rsidRPr="00830E44">
        <w:rPr>
          <w:lang w:val="id-ID"/>
        </w:rPr>
        <w:t xml:space="preserve"> constant values for each unit across individuals (cross</w:t>
      </w:r>
      <w:r w:rsidR="0076065F">
        <w:rPr>
          <w:lang w:val="id-ID"/>
        </w:rPr>
        <w:t>-</w:t>
      </w:r>
      <w:r w:rsidRPr="00830E44">
        <w:rPr>
          <w:lang w:val="id-ID"/>
        </w:rPr>
        <w:t>section) it can be written as follows:</w:t>
      </w:r>
    </w:p>
    <w:p w14:paraId="2A0BBB22" w14:textId="1F16D342" w:rsidR="00830E44" w:rsidRPr="00830E44" w:rsidRDefault="00830E44" w:rsidP="00830E44">
      <w:pPr>
        <w:ind w:firstLine="284"/>
        <w:jc w:val="both"/>
        <w:rPr>
          <w:lang w:val="id-ID"/>
        </w:rPr>
      </w:pPr>
    </w:p>
    <w:p w14:paraId="537EA3D7" w14:textId="3C606438" w:rsidR="00830E44" w:rsidRPr="00830E44" w:rsidRDefault="00830E44" w:rsidP="00830E44">
      <w:pPr>
        <w:pStyle w:val="ListParagraph"/>
        <w:spacing w:line="276" w:lineRule="auto"/>
        <w:ind w:firstLine="720"/>
        <w:jc w:val="both"/>
        <w:rPr>
          <w:lang w:val="id-ID"/>
        </w:rPr>
      </w:pPr>
      <w:r w:rsidRPr="00830E44">
        <w:rPr>
          <w:lang w:val="id-ID"/>
        </w:rPr>
        <w:t>β</w:t>
      </w:r>
      <w:r w:rsidRPr="00830E44">
        <w:rPr>
          <w:vertAlign w:val="subscript"/>
          <w:lang w:val="id-ID"/>
        </w:rPr>
        <w:t>0</w:t>
      </w:r>
      <w:r w:rsidRPr="00830E44">
        <w:rPr>
          <w:rFonts w:ascii="Cambria Math" w:hAnsi="Cambria Math" w:cs="Cambria Math"/>
          <w:lang w:val="id-ID"/>
        </w:rPr>
        <w:t>𝑖</w:t>
      </w:r>
      <w:r w:rsidRPr="00830E44">
        <w:rPr>
          <w:lang w:val="id-ID"/>
        </w:rPr>
        <w:t xml:space="preserve"> + ε</w:t>
      </w:r>
      <w:r w:rsidRPr="00830E44">
        <w:rPr>
          <w:rFonts w:ascii="Cambria Math" w:hAnsi="Cambria Math" w:cs="Cambria Math"/>
          <w:vertAlign w:val="subscript"/>
          <w:lang w:val="id-ID"/>
        </w:rPr>
        <w:t>𝑖</w:t>
      </w:r>
      <w:r w:rsidRPr="00830E44">
        <w:rPr>
          <w:rFonts w:ascii="Cambria Math" w:hAnsi="Cambria Math" w:cs="Cambria Math"/>
          <w:lang w:val="id-ID"/>
        </w:rPr>
        <w:t>𝑖</w:t>
      </w:r>
      <w:r w:rsidRPr="00830E44">
        <w:rPr>
          <w:lang w:val="id-ID"/>
        </w:rPr>
        <w:t xml:space="preserve"> = 1, 2, ... N</w:t>
      </w:r>
    </w:p>
    <w:p w14:paraId="58F18E83" w14:textId="0F646011" w:rsidR="00830E44" w:rsidRPr="00830E44" w:rsidRDefault="0076065F" w:rsidP="00830E44">
      <w:pPr>
        <w:spacing w:line="276" w:lineRule="auto"/>
        <w:ind w:firstLine="284"/>
        <w:jc w:val="both"/>
        <w:rPr>
          <w:lang w:val="id-ID"/>
        </w:rPr>
      </w:pPr>
      <w:r>
        <w:rPr>
          <w:lang w:val="id-ID"/>
        </w:rPr>
        <w:lastRenderedPageBreak/>
        <w:t>W</w:t>
      </w:r>
      <w:r w:rsidR="00830E44" w:rsidRPr="00830E44">
        <w:rPr>
          <w:lang w:val="id-ID"/>
        </w:rPr>
        <w:t xml:space="preserve">here μit is a random error term with </w:t>
      </w:r>
      <w:r>
        <w:rPr>
          <w:lang w:val="id-ID"/>
        </w:rPr>
        <w:t>zero average value</w:t>
      </w:r>
      <w:r w:rsidR="00830E44" w:rsidRPr="00830E44">
        <w:rPr>
          <w:lang w:val="id-ID"/>
        </w:rPr>
        <w:t xml:space="preserve"> and variation is β02μ (constant). Essentially, we want to say that all the individuals who entered the sample were taken from a larger population</w:t>
      </w:r>
      <w:r>
        <w:rPr>
          <w:lang w:val="id-ID"/>
        </w:rPr>
        <w:t>,</w:t>
      </w:r>
      <w:r w:rsidR="00830E44" w:rsidRPr="00830E44">
        <w:rPr>
          <w:lang w:val="id-ID"/>
        </w:rPr>
        <w:t xml:space="preserve"> and they had the same average value for constants (β0)</w:t>
      </w:r>
      <w:r>
        <w:rPr>
          <w:lang w:val="id-ID"/>
        </w:rPr>
        <w:t>,</w:t>
      </w:r>
      <w:r w:rsidR="00830E44" w:rsidRPr="00830E44">
        <w:rPr>
          <w:lang w:val="id-ID"/>
        </w:rPr>
        <w:t xml:space="preserve"> and the individual differences and constant values of each individual will be reflected in the error term (μ</w:t>
      </w:r>
      <w:r w:rsidR="00830E44" w:rsidRPr="00830E44">
        <w:rPr>
          <w:rFonts w:ascii="Cambria Math" w:hAnsi="Cambria Math" w:cs="Cambria Math"/>
          <w:lang w:val="id-ID"/>
        </w:rPr>
        <w:t>𝑖</w:t>
      </w:r>
      <w:r w:rsidR="00830E44" w:rsidRPr="00830E44">
        <w:rPr>
          <w:lang w:val="id-ID"/>
        </w:rPr>
        <w:t>). Thus the equation Random Effect Model (REM) can be re-written to:</w:t>
      </w:r>
    </w:p>
    <w:p w14:paraId="29318FE5" w14:textId="77777777" w:rsidR="00830E44" w:rsidRPr="00830E44" w:rsidRDefault="00830E44" w:rsidP="00830E44">
      <w:pPr>
        <w:pStyle w:val="ListParagraph"/>
        <w:spacing w:line="276" w:lineRule="auto"/>
        <w:ind w:firstLine="720"/>
        <w:jc w:val="both"/>
        <w:rPr>
          <w:lang w:val="id-ID"/>
        </w:rPr>
      </w:pPr>
      <w:r w:rsidRPr="00830E44">
        <w:rPr>
          <w:rFonts w:ascii="Cambria Math" w:hAnsi="Cambria Math" w:cs="Cambria Math"/>
          <w:lang w:val="id-ID"/>
        </w:rPr>
        <w:t>𝑌</w:t>
      </w:r>
      <w:r w:rsidRPr="00830E44">
        <w:rPr>
          <w:vertAlign w:val="subscript"/>
          <w:lang w:val="id-ID"/>
        </w:rPr>
        <w:t>it</w:t>
      </w:r>
      <w:r w:rsidRPr="00830E44">
        <w:rPr>
          <w:lang w:val="id-ID"/>
        </w:rPr>
        <w:t xml:space="preserve"> = β</w:t>
      </w:r>
      <w:r w:rsidRPr="00830E44">
        <w:rPr>
          <w:vertAlign w:val="subscript"/>
          <w:lang w:val="id-ID"/>
        </w:rPr>
        <w:t>0</w:t>
      </w:r>
      <w:r w:rsidRPr="00830E44">
        <w:rPr>
          <w:rFonts w:ascii="Cambria Math" w:hAnsi="Cambria Math" w:cs="Cambria Math"/>
          <w:vertAlign w:val="subscript"/>
          <w:lang w:val="id-ID"/>
        </w:rPr>
        <w:t>𝑖</w:t>
      </w:r>
      <w:r w:rsidRPr="00830E44">
        <w:rPr>
          <w:lang w:val="id-ID"/>
        </w:rPr>
        <w:t xml:space="preserve"> + β</w:t>
      </w:r>
      <w:r w:rsidRPr="00830E44">
        <w:rPr>
          <w:vertAlign w:val="subscript"/>
          <w:lang w:val="id-ID"/>
        </w:rPr>
        <w:t>0</w:t>
      </w:r>
      <w:r w:rsidRPr="00830E44">
        <w:rPr>
          <w:rFonts w:ascii="Cambria Math" w:hAnsi="Cambria Math" w:cs="Cambria Math"/>
          <w:lang w:val="id-ID"/>
        </w:rPr>
        <w:t>𝑋</w:t>
      </w:r>
      <w:r w:rsidRPr="00830E44">
        <w:rPr>
          <w:vertAlign w:val="subscript"/>
          <w:lang w:val="id-ID"/>
        </w:rPr>
        <w:t>1it</w:t>
      </w:r>
      <w:r w:rsidRPr="00830E44">
        <w:rPr>
          <w:lang w:val="id-ID"/>
        </w:rPr>
        <w:t xml:space="preserve"> + β</w:t>
      </w:r>
      <w:r w:rsidRPr="00830E44">
        <w:rPr>
          <w:vertAlign w:val="subscript"/>
          <w:lang w:val="id-ID"/>
        </w:rPr>
        <w:t>0</w:t>
      </w:r>
      <w:r w:rsidRPr="00830E44">
        <w:rPr>
          <w:rFonts w:ascii="Cambria Math" w:hAnsi="Cambria Math" w:cs="Cambria Math"/>
          <w:lang w:val="id-ID"/>
        </w:rPr>
        <w:t>𝑋</w:t>
      </w:r>
      <w:r w:rsidRPr="00830E44">
        <w:rPr>
          <w:vertAlign w:val="subscript"/>
          <w:lang w:val="id-ID"/>
        </w:rPr>
        <w:t>2it</w:t>
      </w:r>
      <w:r w:rsidRPr="00830E44">
        <w:rPr>
          <w:lang w:val="id-ID"/>
        </w:rPr>
        <w:t xml:space="preserve"> + ε</w:t>
      </w:r>
      <w:r w:rsidRPr="00830E44">
        <w:rPr>
          <w:rFonts w:ascii="Cambria Math" w:hAnsi="Cambria Math" w:cs="Cambria Math"/>
          <w:vertAlign w:val="subscript"/>
          <w:lang w:val="id-ID"/>
        </w:rPr>
        <w:t>𝑖</w:t>
      </w:r>
      <w:r w:rsidRPr="00830E44">
        <w:rPr>
          <w:lang w:val="id-ID"/>
        </w:rPr>
        <w:t xml:space="preserve"> + μ</w:t>
      </w:r>
      <w:r w:rsidRPr="00830E44">
        <w:rPr>
          <w:vertAlign w:val="subscript"/>
          <w:lang w:val="id-ID"/>
        </w:rPr>
        <w:t>it</w:t>
      </w:r>
    </w:p>
    <w:p w14:paraId="6D69FB1D" w14:textId="77777777" w:rsidR="00830E44" w:rsidRPr="00830E44" w:rsidRDefault="00830E44" w:rsidP="00830E44">
      <w:pPr>
        <w:pStyle w:val="ListParagraph"/>
        <w:spacing w:line="276" w:lineRule="auto"/>
        <w:ind w:firstLine="720"/>
        <w:jc w:val="both"/>
        <w:rPr>
          <w:lang w:val="id-ID"/>
        </w:rPr>
      </w:pPr>
      <w:r w:rsidRPr="00830E44">
        <w:rPr>
          <w:rFonts w:ascii="Cambria Math" w:hAnsi="Cambria Math" w:cs="Cambria Math"/>
          <w:lang w:val="id-ID"/>
        </w:rPr>
        <w:t>𝑌</w:t>
      </w:r>
      <w:r w:rsidRPr="00830E44">
        <w:rPr>
          <w:vertAlign w:val="subscript"/>
          <w:lang w:val="id-ID"/>
        </w:rPr>
        <w:t>it</w:t>
      </w:r>
      <w:r w:rsidRPr="00830E44">
        <w:rPr>
          <w:lang w:val="id-ID"/>
        </w:rPr>
        <w:t xml:space="preserve"> = β</w:t>
      </w:r>
      <w:r w:rsidRPr="00830E44">
        <w:rPr>
          <w:vertAlign w:val="subscript"/>
          <w:lang w:val="id-ID"/>
        </w:rPr>
        <w:t>0</w:t>
      </w:r>
      <w:r w:rsidRPr="00830E44">
        <w:rPr>
          <w:rFonts w:ascii="Cambria Math" w:hAnsi="Cambria Math" w:cs="Cambria Math"/>
          <w:vertAlign w:val="subscript"/>
          <w:lang w:val="id-ID"/>
        </w:rPr>
        <w:t>𝑖</w:t>
      </w:r>
      <w:r w:rsidRPr="00830E44">
        <w:rPr>
          <w:lang w:val="id-ID"/>
        </w:rPr>
        <w:t xml:space="preserve"> + β</w:t>
      </w:r>
      <w:r w:rsidRPr="00830E44">
        <w:rPr>
          <w:vertAlign w:val="subscript"/>
          <w:lang w:val="id-ID"/>
        </w:rPr>
        <w:t>0</w:t>
      </w:r>
      <w:r w:rsidRPr="00830E44">
        <w:rPr>
          <w:rFonts w:ascii="Cambria Math" w:hAnsi="Cambria Math" w:cs="Cambria Math"/>
          <w:lang w:val="id-ID"/>
        </w:rPr>
        <w:t>𝑋</w:t>
      </w:r>
      <w:r w:rsidRPr="00830E44">
        <w:rPr>
          <w:vertAlign w:val="subscript"/>
          <w:lang w:val="id-ID"/>
        </w:rPr>
        <w:t>1it</w:t>
      </w:r>
      <w:r w:rsidRPr="00830E44">
        <w:rPr>
          <w:lang w:val="id-ID"/>
        </w:rPr>
        <w:t xml:space="preserve"> + β</w:t>
      </w:r>
      <w:r w:rsidRPr="00830E44">
        <w:rPr>
          <w:vertAlign w:val="subscript"/>
          <w:lang w:val="id-ID"/>
        </w:rPr>
        <w:t>0</w:t>
      </w:r>
      <w:r w:rsidRPr="00830E44">
        <w:rPr>
          <w:rFonts w:ascii="Cambria Math" w:hAnsi="Cambria Math" w:cs="Cambria Math"/>
          <w:lang w:val="id-ID"/>
        </w:rPr>
        <w:t>𝑋</w:t>
      </w:r>
      <w:r w:rsidRPr="00830E44">
        <w:rPr>
          <w:vertAlign w:val="subscript"/>
          <w:lang w:val="id-ID"/>
        </w:rPr>
        <w:t>2it</w:t>
      </w:r>
      <w:r w:rsidRPr="00830E44">
        <w:rPr>
          <w:lang w:val="id-ID"/>
        </w:rPr>
        <w:t xml:space="preserve"> + </w:t>
      </w:r>
      <w:r w:rsidRPr="00830E44">
        <w:rPr>
          <w:rFonts w:ascii="Cambria Math" w:hAnsi="Cambria Math" w:cs="Cambria Math"/>
          <w:lang w:val="id-ID"/>
        </w:rPr>
        <w:t>𝑤</w:t>
      </w:r>
      <w:r w:rsidRPr="00830E44">
        <w:rPr>
          <w:vertAlign w:val="subscript"/>
          <w:lang w:val="id-ID"/>
        </w:rPr>
        <w:t>it</w:t>
      </w:r>
    </w:p>
    <w:p w14:paraId="15D366D9" w14:textId="77777777" w:rsidR="00830E44" w:rsidRPr="00830E44" w:rsidRDefault="00830E44" w:rsidP="00830E44">
      <w:pPr>
        <w:spacing w:line="276" w:lineRule="auto"/>
        <w:jc w:val="both"/>
        <w:rPr>
          <w:lang w:val="id-ID"/>
        </w:rPr>
      </w:pPr>
      <w:r w:rsidRPr="00830E44">
        <w:rPr>
          <w:lang w:val="id-ID"/>
        </w:rPr>
        <w:t>where</w:t>
      </w:r>
    </w:p>
    <w:p w14:paraId="1023FAA9" w14:textId="77777777" w:rsidR="00A95CAF" w:rsidRDefault="00830E44" w:rsidP="00A95CAF">
      <w:pPr>
        <w:spacing w:line="276" w:lineRule="auto"/>
        <w:ind w:left="720" w:firstLine="720"/>
        <w:jc w:val="both"/>
      </w:pPr>
      <w:r w:rsidRPr="00830E44">
        <w:rPr>
          <w:rFonts w:ascii="Cambria Math" w:hAnsi="Cambria Math" w:cs="Cambria Math"/>
          <w:lang w:val="id-ID"/>
        </w:rPr>
        <w:t>𝑤</w:t>
      </w:r>
      <w:r w:rsidRPr="00830E44">
        <w:rPr>
          <w:vertAlign w:val="subscript"/>
          <w:lang w:val="id-ID"/>
        </w:rPr>
        <w:t>it</w:t>
      </w:r>
      <w:r w:rsidRPr="00830E44">
        <w:rPr>
          <w:lang w:val="id-ID"/>
        </w:rPr>
        <w:t xml:space="preserve"> = </w:t>
      </w:r>
      <w:r w:rsidRPr="00830E44">
        <w:rPr>
          <w:i/>
          <w:lang w:val="id-ID"/>
        </w:rPr>
        <w:t>e</w:t>
      </w:r>
      <w:r w:rsidRPr="00830E44">
        <w:rPr>
          <w:i/>
          <w:position w:val="-2"/>
          <w:lang w:val="id-ID"/>
        </w:rPr>
        <w:t xml:space="preserve">it </w:t>
      </w:r>
      <w:r w:rsidRPr="00830E44">
        <w:rPr>
          <w:i/>
          <w:lang w:val="id-ID"/>
        </w:rPr>
        <w:t xml:space="preserve">+ </w:t>
      </w:r>
      <w:r w:rsidRPr="00830E44">
        <w:rPr>
          <w:lang w:val="id-ID"/>
        </w:rPr>
        <w:t>µ</w:t>
      </w:r>
      <w:r w:rsidRPr="00830E44">
        <w:rPr>
          <w:i/>
          <w:vertAlign w:val="subscript"/>
          <w:lang w:val="id-ID"/>
        </w:rPr>
        <w:t>i</w:t>
      </w:r>
    </w:p>
    <w:p w14:paraId="2024B50C" w14:textId="47B8D2DE" w:rsidR="00A95CAF" w:rsidRDefault="00A95CAF" w:rsidP="00A95CAF">
      <w:pPr>
        <w:spacing w:before="520" w:after="280"/>
        <w:jc w:val="both"/>
        <w:rPr>
          <w:rFonts w:eastAsia="Times"/>
          <w:b/>
          <w:sz w:val="24"/>
          <w:szCs w:val="24"/>
        </w:rPr>
      </w:pPr>
      <w:r>
        <w:rPr>
          <w:rFonts w:eastAsia="Times"/>
          <w:b/>
          <w:sz w:val="24"/>
          <w:szCs w:val="24"/>
        </w:rPr>
        <w:t>4</w:t>
      </w:r>
      <w:r w:rsidRPr="0042530D">
        <w:rPr>
          <w:rFonts w:eastAsia="Times"/>
          <w:b/>
          <w:sz w:val="24"/>
          <w:szCs w:val="24"/>
        </w:rPr>
        <w:t xml:space="preserve">  </w:t>
      </w:r>
      <w:r>
        <w:rPr>
          <w:rFonts w:eastAsia="Times"/>
          <w:b/>
          <w:sz w:val="24"/>
          <w:szCs w:val="24"/>
        </w:rPr>
        <w:t xml:space="preserve">Discussion and Findings </w:t>
      </w:r>
    </w:p>
    <w:p w14:paraId="612098BF" w14:textId="79D1DDE2" w:rsidR="00A95CAF" w:rsidRDefault="00A95CAF" w:rsidP="00A95CAF">
      <w:pPr>
        <w:ind w:firstLine="360"/>
        <w:jc w:val="both"/>
      </w:pPr>
      <w:r w:rsidRPr="00A95CAF">
        <w:t xml:space="preserve">Based </w:t>
      </w:r>
      <w:r>
        <w:t>on World Bank Data (2021)</w:t>
      </w:r>
      <w:r w:rsidRPr="00A95CAF">
        <w:t>, the average economic growth i</w:t>
      </w:r>
      <w:r>
        <w:t>n selected</w:t>
      </w:r>
      <w:r w:rsidRPr="00A95CAF">
        <w:t xml:space="preserve"> ASEAN countries is 5.702 %. The highest economic growth was in Thailand</w:t>
      </w:r>
      <w:r w:rsidR="0076065F">
        <w:t>,</w:t>
      </w:r>
      <w:r w:rsidRPr="00A95CAF">
        <w:t xml:space="preserve"> with the highest figure reaching 7.513%</w:t>
      </w:r>
      <w:r w:rsidR="0076065F">
        <w:t>,</w:t>
      </w:r>
      <w:r w:rsidRPr="00A95CAF">
        <w:t xml:space="preserve"> while the lowest at 0.84%</w:t>
      </w:r>
      <w:r w:rsidR="0076065F">
        <w:t>,</w:t>
      </w:r>
      <w:r w:rsidRPr="00A95CAF">
        <w:t xml:space="preserve"> was also in Thailand. Economic globalization has an average index of 66.47 from </w:t>
      </w:r>
      <w:r>
        <w:t xml:space="preserve">selected </w:t>
      </w:r>
      <w:r w:rsidRPr="00A95CAF">
        <w:t xml:space="preserve">countries in ASEAN. Economic globalization reached the highest index of 83.78 in Malaysia, while </w:t>
      </w:r>
      <w:r w:rsidR="0076065F">
        <w:t>Indonesia's lowest index of 37.50</w:t>
      </w:r>
      <w:r w:rsidRPr="00A95CAF">
        <w:t>.</w:t>
      </w:r>
    </w:p>
    <w:p w14:paraId="153A9C32" w14:textId="0486E9C8" w:rsidR="00A95CAF" w:rsidRDefault="00A95CAF" w:rsidP="00A95CAF">
      <w:pPr>
        <w:ind w:firstLine="360"/>
        <w:jc w:val="both"/>
      </w:pPr>
    </w:p>
    <w:p w14:paraId="46C3594D" w14:textId="51B9B936" w:rsidR="00A95CAF" w:rsidRDefault="00A95CAF" w:rsidP="00A95CAF">
      <w:pPr>
        <w:jc w:val="center"/>
      </w:pPr>
      <w:r>
        <w:t>Table 2. GDP Growth in ASEAN Countries, 2013-2020</w:t>
      </w:r>
    </w:p>
    <w:tbl>
      <w:tblPr>
        <w:tblW w:w="7575" w:type="dxa"/>
        <w:tblInd w:w="93" w:type="dxa"/>
        <w:tblBorders>
          <w:top w:val="single" w:sz="4" w:space="0" w:color="auto"/>
          <w:bottom w:val="single" w:sz="4" w:space="0" w:color="auto"/>
        </w:tblBorders>
        <w:tblLook w:val="04A0" w:firstRow="1" w:lastRow="0" w:firstColumn="1" w:lastColumn="0" w:noHBand="0" w:noVBand="1"/>
      </w:tblPr>
      <w:tblGrid>
        <w:gridCol w:w="1072"/>
        <w:gridCol w:w="833"/>
        <w:gridCol w:w="810"/>
        <w:gridCol w:w="810"/>
        <w:gridCol w:w="810"/>
        <w:gridCol w:w="810"/>
        <w:gridCol w:w="810"/>
        <w:gridCol w:w="810"/>
        <w:gridCol w:w="810"/>
      </w:tblGrid>
      <w:tr w:rsidR="00A95CAF" w:rsidRPr="00A95CAF" w14:paraId="2F8290F1" w14:textId="77777777" w:rsidTr="003E1AFF">
        <w:trPr>
          <w:trHeight w:val="555"/>
        </w:trPr>
        <w:tc>
          <w:tcPr>
            <w:tcW w:w="1072" w:type="dxa"/>
            <w:tcBorders>
              <w:top w:val="single" w:sz="4" w:space="0" w:color="auto"/>
              <w:bottom w:val="single" w:sz="4" w:space="0" w:color="auto"/>
            </w:tcBorders>
            <w:shd w:val="clear" w:color="auto" w:fill="auto"/>
            <w:noWrap/>
            <w:vAlign w:val="center"/>
            <w:hideMark/>
          </w:tcPr>
          <w:p w14:paraId="39C383D2" w14:textId="11A7F655" w:rsidR="00A95CAF" w:rsidRPr="00A95CAF" w:rsidRDefault="00A95CAF" w:rsidP="003E1AFF">
            <w:pPr>
              <w:jc w:val="center"/>
            </w:pPr>
            <w:r>
              <w:t>Country</w:t>
            </w:r>
          </w:p>
        </w:tc>
        <w:tc>
          <w:tcPr>
            <w:tcW w:w="833" w:type="dxa"/>
            <w:tcBorders>
              <w:top w:val="single" w:sz="4" w:space="0" w:color="auto"/>
              <w:bottom w:val="single" w:sz="4" w:space="0" w:color="auto"/>
            </w:tcBorders>
            <w:shd w:val="clear" w:color="auto" w:fill="auto"/>
            <w:noWrap/>
            <w:vAlign w:val="center"/>
            <w:hideMark/>
          </w:tcPr>
          <w:p w14:paraId="1CA4E04A" w14:textId="0582BCD9" w:rsidR="00A95CAF" w:rsidRPr="00A95CAF" w:rsidRDefault="00A95CAF" w:rsidP="003E1AFF">
            <w:pPr>
              <w:jc w:val="center"/>
            </w:pPr>
            <w:r>
              <w:t>2013</w:t>
            </w:r>
          </w:p>
        </w:tc>
        <w:tc>
          <w:tcPr>
            <w:tcW w:w="810" w:type="dxa"/>
            <w:tcBorders>
              <w:top w:val="single" w:sz="4" w:space="0" w:color="auto"/>
              <w:bottom w:val="single" w:sz="4" w:space="0" w:color="auto"/>
            </w:tcBorders>
            <w:shd w:val="clear" w:color="auto" w:fill="auto"/>
            <w:noWrap/>
            <w:vAlign w:val="center"/>
            <w:hideMark/>
          </w:tcPr>
          <w:p w14:paraId="7C3D37EB" w14:textId="379A4563" w:rsidR="00A95CAF" w:rsidRPr="00A95CAF" w:rsidRDefault="00A95CAF" w:rsidP="003E1AFF">
            <w:pPr>
              <w:jc w:val="center"/>
            </w:pPr>
            <w:r>
              <w:t>2014</w:t>
            </w:r>
          </w:p>
        </w:tc>
        <w:tc>
          <w:tcPr>
            <w:tcW w:w="810" w:type="dxa"/>
            <w:tcBorders>
              <w:top w:val="single" w:sz="4" w:space="0" w:color="auto"/>
              <w:bottom w:val="single" w:sz="4" w:space="0" w:color="auto"/>
            </w:tcBorders>
            <w:shd w:val="clear" w:color="auto" w:fill="auto"/>
            <w:noWrap/>
            <w:vAlign w:val="center"/>
            <w:hideMark/>
          </w:tcPr>
          <w:p w14:paraId="539725AF" w14:textId="7FF978FC" w:rsidR="00A95CAF" w:rsidRPr="00A95CAF" w:rsidRDefault="00A95CAF" w:rsidP="003E1AFF">
            <w:pPr>
              <w:jc w:val="center"/>
            </w:pPr>
            <w:r>
              <w:t>2015</w:t>
            </w:r>
          </w:p>
        </w:tc>
        <w:tc>
          <w:tcPr>
            <w:tcW w:w="810" w:type="dxa"/>
            <w:tcBorders>
              <w:top w:val="single" w:sz="4" w:space="0" w:color="auto"/>
              <w:bottom w:val="single" w:sz="4" w:space="0" w:color="auto"/>
            </w:tcBorders>
            <w:shd w:val="clear" w:color="auto" w:fill="auto"/>
            <w:noWrap/>
            <w:vAlign w:val="center"/>
            <w:hideMark/>
          </w:tcPr>
          <w:p w14:paraId="688D9964" w14:textId="66434775" w:rsidR="00A95CAF" w:rsidRPr="00A95CAF" w:rsidRDefault="00A95CAF" w:rsidP="003E1AFF">
            <w:pPr>
              <w:jc w:val="center"/>
            </w:pPr>
            <w:r>
              <w:t>2016</w:t>
            </w:r>
          </w:p>
        </w:tc>
        <w:tc>
          <w:tcPr>
            <w:tcW w:w="810" w:type="dxa"/>
            <w:tcBorders>
              <w:top w:val="single" w:sz="4" w:space="0" w:color="auto"/>
              <w:bottom w:val="single" w:sz="4" w:space="0" w:color="auto"/>
            </w:tcBorders>
            <w:shd w:val="clear" w:color="auto" w:fill="auto"/>
            <w:noWrap/>
            <w:vAlign w:val="center"/>
            <w:hideMark/>
          </w:tcPr>
          <w:p w14:paraId="1B4283F9" w14:textId="0F2FEE12" w:rsidR="00A95CAF" w:rsidRPr="00A95CAF" w:rsidRDefault="00A95CAF" w:rsidP="003E1AFF">
            <w:pPr>
              <w:jc w:val="center"/>
            </w:pPr>
            <w:r>
              <w:t>2017</w:t>
            </w:r>
          </w:p>
        </w:tc>
        <w:tc>
          <w:tcPr>
            <w:tcW w:w="810" w:type="dxa"/>
            <w:tcBorders>
              <w:top w:val="single" w:sz="4" w:space="0" w:color="auto"/>
              <w:bottom w:val="single" w:sz="4" w:space="0" w:color="auto"/>
            </w:tcBorders>
            <w:shd w:val="clear" w:color="auto" w:fill="auto"/>
            <w:noWrap/>
            <w:vAlign w:val="center"/>
            <w:hideMark/>
          </w:tcPr>
          <w:p w14:paraId="61CD977C" w14:textId="60EA666F" w:rsidR="00A95CAF" w:rsidRPr="00A95CAF" w:rsidRDefault="00A95CAF" w:rsidP="003E1AFF">
            <w:pPr>
              <w:jc w:val="center"/>
            </w:pPr>
            <w:r>
              <w:t>2018</w:t>
            </w:r>
          </w:p>
        </w:tc>
        <w:tc>
          <w:tcPr>
            <w:tcW w:w="810" w:type="dxa"/>
            <w:tcBorders>
              <w:top w:val="single" w:sz="4" w:space="0" w:color="auto"/>
              <w:bottom w:val="single" w:sz="4" w:space="0" w:color="auto"/>
            </w:tcBorders>
            <w:shd w:val="clear" w:color="auto" w:fill="auto"/>
            <w:noWrap/>
            <w:vAlign w:val="center"/>
            <w:hideMark/>
          </w:tcPr>
          <w:p w14:paraId="27395A72" w14:textId="20EC72A8" w:rsidR="00A95CAF" w:rsidRPr="00A95CAF" w:rsidRDefault="00A95CAF" w:rsidP="003E1AFF">
            <w:pPr>
              <w:jc w:val="center"/>
            </w:pPr>
            <w:r>
              <w:t>2019</w:t>
            </w:r>
          </w:p>
        </w:tc>
        <w:tc>
          <w:tcPr>
            <w:tcW w:w="810" w:type="dxa"/>
            <w:tcBorders>
              <w:top w:val="single" w:sz="4" w:space="0" w:color="auto"/>
              <w:bottom w:val="single" w:sz="4" w:space="0" w:color="auto"/>
            </w:tcBorders>
            <w:shd w:val="clear" w:color="auto" w:fill="auto"/>
            <w:noWrap/>
            <w:vAlign w:val="center"/>
            <w:hideMark/>
          </w:tcPr>
          <w:p w14:paraId="5E4F9E8E" w14:textId="1F765DF3" w:rsidR="00A95CAF" w:rsidRPr="00A95CAF" w:rsidRDefault="00A95CAF" w:rsidP="003E1AFF">
            <w:pPr>
              <w:jc w:val="center"/>
            </w:pPr>
            <w:r>
              <w:t>2020</w:t>
            </w:r>
          </w:p>
        </w:tc>
      </w:tr>
      <w:tr w:rsidR="00A95CAF" w:rsidRPr="00A95CAF" w14:paraId="05F03512" w14:textId="77777777" w:rsidTr="003E1AFF">
        <w:trPr>
          <w:trHeight w:val="300"/>
        </w:trPr>
        <w:tc>
          <w:tcPr>
            <w:tcW w:w="1072" w:type="dxa"/>
            <w:tcBorders>
              <w:top w:val="single" w:sz="4" w:space="0" w:color="auto"/>
            </w:tcBorders>
            <w:shd w:val="clear" w:color="auto" w:fill="auto"/>
            <w:noWrap/>
            <w:vAlign w:val="bottom"/>
            <w:hideMark/>
          </w:tcPr>
          <w:p w14:paraId="3EFF41D8" w14:textId="77777777" w:rsidR="00A95CAF" w:rsidRPr="00A95CAF" w:rsidRDefault="00A95CAF" w:rsidP="003E1AFF">
            <w:r w:rsidRPr="00A95CAF">
              <w:t>Malaysia</w:t>
            </w:r>
          </w:p>
        </w:tc>
        <w:tc>
          <w:tcPr>
            <w:tcW w:w="833" w:type="dxa"/>
            <w:tcBorders>
              <w:top w:val="single" w:sz="4" w:space="0" w:color="auto"/>
            </w:tcBorders>
            <w:shd w:val="clear" w:color="auto" w:fill="auto"/>
            <w:noWrap/>
            <w:vAlign w:val="bottom"/>
            <w:hideMark/>
          </w:tcPr>
          <w:p w14:paraId="618DE291" w14:textId="77777777" w:rsidR="00A95CAF" w:rsidRPr="00A95CAF" w:rsidRDefault="00A95CAF" w:rsidP="003E1AFF">
            <w:pPr>
              <w:jc w:val="right"/>
            </w:pPr>
            <w:r w:rsidRPr="00A95CAF">
              <w:t>7.42</w:t>
            </w:r>
          </w:p>
        </w:tc>
        <w:tc>
          <w:tcPr>
            <w:tcW w:w="810" w:type="dxa"/>
            <w:tcBorders>
              <w:top w:val="single" w:sz="4" w:space="0" w:color="auto"/>
            </w:tcBorders>
            <w:shd w:val="clear" w:color="auto" w:fill="auto"/>
            <w:noWrap/>
            <w:vAlign w:val="bottom"/>
            <w:hideMark/>
          </w:tcPr>
          <w:p w14:paraId="1B39D27C" w14:textId="77777777" w:rsidR="00A95CAF" w:rsidRPr="00A95CAF" w:rsidRDefault="00A95CAF" w:rsidP="003E1AFF">
            <w:pPr>
              <w:jc w:val="right"/>
            </w:pPr>
            <w:r w:rsidRPr="00A95CAF">
              <w:t>5.29</w:t>
            </w:r>
          </w:p>
        </w:tc>
        <w:tc>
          <w:tcPr>
            <w:tcW w:w="810" w:type="dxa"/>
            <w:tcBorders>
              <w:top w:val="single" w:sz="4" w:space="0" w:color="auto"/>
            </w:tcBorders>
            <w:shd w:val="clear" w:color="auto" w:fill="auto"/>
            <w:noWrap/>
            <w:vAlign w:val="bottom"/>
            <w:hideMark/>
          </w:tcPr>
          <w:p w14:paraId="144C918D" w14:textId="77777777" w:rsidR="00A95CAF" w:rsidRPr="00A95CAF" w:rsidRDefault="00A95CAF" w:rsidP="003E1AFF">
            <w:pPr>
              <w:jc w:val="right"/>
            </w:pPr>
            <w:r w:rsidRPr="00A95CAF">
              <w:t>5.47</w:t>
            </w:r>
          </w:p>
        </w:tc>
        <w:tc>
          <w:tcPr>
            <w:tcW w:w="810" w:type="dxa"/>
            <w:tcBorders>
              <w:top w:val="single" w:sz="4" w:space="0" w:color="auto"/>
            </w:tcBorders>
            <w:shd w:val="clear" w:color="auto" w:fill="auto"/>
            <w:noWrap/>
            <w:vAlign w:val="bottom"/>
            <w:hideMark/>
          </w:tcPr>
          <w:p w14:paraId="58789208" w14:textId="77777777" w:rsidR="00A95CAF" w:rsidRPr="00A95CAF" w:rsidRDefault="00A95CAF" w:rsidP="003E1AFF">
            <w:pPr>
              <w:jc w:val="right"/>
            </w:pPr>
            <w:r w:rsidRPr="00A95CAF">
              <w:t>4.69</w:t>
            </w:r>
          </w:p>
        </w:tc>
        <w:tc>
          <w:tcPr>
            <w:tcW w:w="810" w:type="dxa"/>
            <w:tcBorders>
              <w:top w:val="single" w:sz="4" w:space="0" w:color="auto"/>
            </w:tcBorders>
            <w:shd w:val="clear" w:color="auto" w:fill="auto"/>
            <w:noWrap/>
            <w:vAlign w:val="bottom"/>
            <w:hideMark/>
          </w:tcPr>
          <w:p w14:paraId="24872582" w14:textId="77777777" w:rsidR="00A95CAF" w:rsidRPr="00A95CAF" w:rsidRDefault="00A95CAF" w:rsidP="003E1AFF">
            <w:pPr>
              <w:jc w:val="right"/>
            </w:pPr>
            <w:r w:rsidRPr="00A95CAF">
              <w:t>6.01</w:t>
            </w:r>
          </w:p>
        </w:tc>
        <w:tc>
          <w:tcPr>
            <w:tcW w:w="810" w:type="dxa"/>
            <w:tcBorders>
              <w:top w:val="single" w:sz="4" w:space="0" w:color="auto"/>
            </w:tcBorders>
            <w:shd w:val="clear" w:color="auto" w:fill="auto"/>
            <w:noWrap/>
            <w:vAlign w:val="bottom"/>
            <w:hideMark/>
          </w:tcPr>
          <w:p w14:paraId="6FB6B594" w14:textId="77777777" w:rsidR="00A95CAF" w:rsidRPr="00A95CAF" w:rsidRDefault="00A95CAF" w:rsidP="003E1AFF">
            <w:pPr>
              <w:jc w:val="right"/>
            </w:pPr>
            <w:r w:rsidRPr="00A95CAF">
              <w:t>5.09</w:t>
            </w:r>
          </w:p>
        </w:tc>
        <w:tc>
          <w:tcPr>
            <w:tcW w:w="810" w:type="dxa"/>
            <w:tcBorders>
              <w:top w:val="single" w:sz="4" w:space="0" w:color="auto"/>
            </w:tcBorders>
            <w:shd w:val="clear" w:color="auto" w:fill="auto"/>
            <w:noWrap/>
            <w:vAlign w:val="bottom"/>
            <w:hideMark/>
          </w:tcPr>
          <w:p w14:paraId="4F60E84C" w14:textId="77777777" w:rsidR="00A95CAF" w:rsidRPr="00A95CAF" w:rsidRDefault="00A95CAF" w:rsidP="003E1AFF">
            <w:pPr>
              <w:jc w:val="right"/>
            </w:pPr>
            <w:r w:rsidRPr="00A95CAF">
              <w:t>4.45</w:t>
            </w:r>
          </w:p>
        </w:tc>
        <w:tc>
          <w:tcPr>
            <w:tcW w:w="810" w:type="dxa"/>
            <w:tcBorders>
              <w:top w:val="single" w:sz="4" w:space="0" w:color="auto"/>
            </w:tcBorders>
            <w:shd w:val="clear" w:color="auto" w:fill="auto"/>
            <w:noWrap/>
            <w:vAlign w:val="bottom"/>
            <w:hideMark/>
          </w:tcPr>
          <w:p w14:paraId="53BC9D6D" w14:textId="77777777" w:rsidR="00A95CAF" w:rsidRPr="00A95CAF" w:rsidRDefault="00A95CAF" w:rsidP="003E1AFF">
            <w:pPr>
              <w:jc w:val="right"/>
            </w:pPr>
            <w:r w:rsidRPr="00A95CAF">
              <w:t>5.81</w:t>
            </w:r>
          </w:p>
        </w:tc>
      </w:tr>
      <w:tr w:rsidR="00A95CAF" w:rsidRPr="00A95CAF" w14:paraId="003BDB3E" w14:textId="77777777" w:rsidTr="003E1AFF">
        <w:trPr>
          <w:trHeight w:val="300"/>
        </w:trPr>
        <w:tc>
          <w:tcPr>
            <w:tcW w:w="1072" w:type="dxa"/>
            <w:shd w:val="clear" w:color="auto" w:fill="auto"/>
            <w:noWrap/>
            <w:vAlign w:val="bottom"/>
            <w:hideMark/>
          </w:tcPr>
          <w:p w14:paraId="6B30982D" w14:textId="77777777" w:rsidR="00A95CAF" w:rsidRPr="00A95CAF" w:rsidRDefault="00A95CAF" w:rsidP="003E1AFF">
            <w:r w:rsidRPr="00A95CAF">
              <w:t>Thailand</w:t>
            </w:r>
          </w:p>
        </w:tc>
        <w:tc>
          <w:tcPr>
            <w:tcW w:w="833" w:type="dxa"/>
            <w:shd w:val="clear" w:color="auto" w:fill="auto"/>
            <w:noWrap/>
            <w:vAlign w:val="bottom"/>
            <w:hideMark/>
          </w:tcPr>
          <w:p w14:paraId="424AEFBB" w14:textId="77777777" w:rsidR="00A95CAF" w:rsidRPr="00A95CAF" w:rsidRDefault="00A95CAF" w:rsidP="003E1AFF">
            <w:pPr>
              <w:jc w:val="right"/>
            </w:pPr>
            <w:r w:rsidRPr="00A95CAF">
              <w:t>7.51</w:t>
            </w:r>
          </w:p>
        </w:tc>
        <w:tc>
          <w:tcPr>
            <w:tcW w:w="810" w:type="dxa"/>
            <w:shd w:val="clear" w:color="auto" w:fill="auto"/>
            <w:noWrap/>
            <w:vAlign w:val="bottom"/>
            <w:hideMark/>
          </w:tcPr>
          <w:p w14:paraId="4FDBBCAA" w14:textId="77777777" w:rsidR="00A95CAF" w:rsidRPr="00A95CAF" w:rsidRDefault="00A95CAF" w:rsidP="003E1AFF">
            <w:pPr>
              <w:jc w:val="right"/>
            </w:pPr>
            <w:r w:rsidRPr="00A95CAF">
              <w:t>0.84</w:t>
            </w:r>
          </w:p>
        </w:tc>
        <w:tc>
          <w:tcPr>
            <w:tcW w:w="810" w:type="dxa"/>
            <w:shd w:val="clear" w:color="auto" w:fill="auto"/>
            <w:noWrap/>
            <w:vAlign w:val="bottom"/>
            <w:hideMark/>
          </w:tcPr>
          <w:p w14:paraId="3BE19688" w14:textId="77777777" w:rsidR="00A95CAF" w:rsidRPr="00A95CAF" w:rsidRDefault="00A95CAF" w:rsidP="003E1AFF">
            <w:pPr>
              <w:jc w:val="right"/>
            </w:pPr>
            <w:r w:rsidRPr="00A95CAF">
              <w:t>7.24</w:t>
            </w:r>
          </w:p>
        </w:tc>
        <w:tc>
          <w:tcPr>
            <w:tcW w:w="810" w:type="dxa"/>
            <w:shd w:val="clear" w:color="auto" w:fill="auto"/>
            <w:noWrap/>
            <w:vAlign w:val="bottom"/>
            <w:hideMark/>
          </w:tcPr>
          <w:p w14:paraId="5858B1E7" w14:textId="77777777" w:rsidR="00A95CAF" w:rsidRPr="00A95CAF" w:rsidRDefault="00A95CAF" w:rsidP="003E1AFF">
            <w:pPr>
              <w:jc w:val="right"/>
            </w:pPr>
            <w:r w:rsidRPr="00A95CAF">
              <w:t>2.69</w:t>
            </w:r>
          </w:p>
        </w:tc>
        <w:tc>
          <w:tcPr>
            <w:tcW w:w="810" w:type="dxa"/>
            <w:shd w:val="clear" w:color="auto" w:fill="auto"/>
            <w:noWrap/>
            <w:vAlign w:val="bottom"/>
            <w:hideMark/>
          </w:tcPr>
          <w:p w14:paraId="5DADC43B" w14:textId="77777777" w:rsidR="00A95CAF" w:rsidRPr="00A95CAF" w:rsidRDefault="00A95CAF" w:rsidP="003E1AFF">
            <w:pPr>
              <w:jc w:val="right"/>
            </w:pPr>
            <w:r w:rsidRPr="00A95CAF">
              <w:t>1.08</w:t>
            </w:r>
          </w:p>
        </w:tc>
        <w:tc>
          <w:tcPr>
            <w:tcW w:w="810" w:type="dxa"/>
            <w:shd w:val="clear" w:color="auto" w:fill="auto"/>
            <w:noWrap/>
            <w:vAlign w:val="bottom"/>
            <w:hideMark/>
          </w:tcPr>
          <w:p w14:paraId="6E4DF90D" w14:textId="77777777" w:rsidR="00A95CAF" w:rsidRPr="00A95CAF" w:rsidRDefault="00A95CAF" w:rsidP="003E1AFF">
            <w:pPr>
              <w:jc w:val="right"/>
            </w:pPr>
            <w:r w:rsidRPr="00A95CAF">
              <w:t>3.13</w:t>
            </w:r>
          </w:p>
        </w:tc>
        <w:tc>
          <w:tcPr>
            <w:tcW w:w="810" w:type="dxa"/>
            <w:shd w:val="clear" w:color="auto" w:fill="auto"/>
            <w:noWrap/>
            <w:vAlign w:val="bottom"/>
            <w:hideMark/>
          </w:tcPr>
          <w:p w14:paraId="40585DF6" w14:textId="77777777" w:rsidR="00A95CAF" w:rsidRPr="00A95CAF" w:rsidRDefault="00A95CAF" w:rsidP="003E1AFF">
            <w:pPr>
              <w:jc w:val="right"/>
            </w:pPr>
            <w:r w:rsidRPr="00A95CAF">
              <w:t>3.43</w:t>
            </w:r>
          </w:p>
        </w:tc>
        <w:tc>
          <w:tcPr>
            <w:tcW w:w="810" w:type="dxa"/>
            <w:shd w:val="clear" w:color="auto" w:fill="auto"/>
            <w:noWrap/>
            <w:vAlign w:val="bottom"/>
            <w:hideMark/>
          </w:tcPr>
          <w:p w14:paraId="1919721F" w14:textId="77777777" w:rsidR="00A95CAF" w:rsidRPr="00A95CAF" w:rsidRDefault="00A95CAF" w:rsidP="003E1AFF">
            <w:pPr>
              <w:jc w:val="right"/>
            </w:pPr>
            <w:r w:rsidRPr="00A95CAF">
              <w:t>4.07</w:t>
            </w:r>
          </w:p>
        </w:tc>
      </w:tr>
      <w:tr w:rsidR="00A95CAF" w:rsidRPr="00A95CAF" w14:paraId="45DC14B2" w14:textId="77777777" w:rsidTr="003E1AFF">
        <w:trPr>
          <w:trHeight w:val="300"/>
        </w:trPr>
        <w:tc>
          <w:tcPr>
            <w:tcW w:w="1072" w:type="dxa"/>
            <w:shd w:val="clear" w:color="auto" w:fill="auto"/>
            <w:noWrap/>
            <w:vAlign w:val="bottom"/>
            <w:hideMark/>
          </w:tcPr>
          <w:p w14:paraId="40867293" w14:textId="77777777" w:rsidR="00A95CAF" w:rsidRPr="00A95CAF" w:rsidRDefault="00A95CAF" w:rsidP="003E1AFF">
            <w:r w:rsidRPr="00A95CAF">
              <w:t>Indonesia</w:t>
            </w:r>
          </w:p>
        </w:tc>
        <w:tc>
          <w:tcPr>
            <w:tcW w:w="833" w:type="dxa"/>
            <w:shd w:val="clear" w:color="auto" w:fill="auto"/>
            <w:noWrap/>
            <w:vAlign w:val="bottom"/>
            <w:hideMark/>
          </w:tcPr>
          <w:p w14:paraId="00E65044" w14:textId="77777777" w:rsidR="00A95CAF" w:rsidRPr="00A95CAF" w:rsidRDefault="00A95CAF" w:rsidP="003E1AFF">
            <w:pPr>
              <w:jc w:val="right"/>
            </w:pPr>
            <w:r w:rsidRPr="00A95CAF">
              <w:t>6.22</w:t>
            </w:r>
          </w:p>
        </w:tc>
        <w:tc>
          <w:tcPr>
            <w:tcW w:w="810" w:type="dxa"/>
            <w:shd w:val="clear" w:color="auto" w:fill="auto"/>
            <w:noWrap/>
            <w:vAlign w:val="bottom"/>
            <w:hideMark/>
          </w:tcPr>
          <w:p w14:paraId="1EA1F288" w14:textId="77777777" w:rsidR="00A95CAF" w:rsidRPr="00A95CAF" w:rsidRDefault="00A95CAF" w:rsidP="003E1AFF">
            <w:pPr>
              <w:jc w:val="right"/>
            </w:pPr>
            <w:r w:rsidRPr="00A95CAF">
              <w:t>6.17</w:t>
            </w:r>
          </w:p>
        </w:tc>
        <w:tc>
          <w:tcPr>
            <w:tcW w:w="810" w:type="dxa"/>
            <w:shd w:val="clear" w:color="auto" w:fill="auto"/>
            <w:noWrap/>
            <w:vAlign w:val="bottom"/>
            <w:hideMark/>
          </w:tcPr>
          <w:p w14:paraId="45E21D3B" w14:textId="77777777" w:rsidR="00A95CAF" w:rsidRPr="00A95CAF" w:rsidRDefault="00A95CAF" w:rsidP="003E1AFF">
            <w:pPr>
              <w:jc w:val="right"/>
            </w:pPr>
            <w:r w:rsidRPr="00A95CAF">
              <w:t>6.03</w:t>
            </w:r>
          </w:p>
        </w:tc>
        <w:tc>
          <w:tcPr>
            <w:tcW w:w="810" w:type="dxa"/>
            <w:shd w:val="clear" w:color="auto" w:fill="auto"/>
            <w:noWrap/>
            <w:vAlign w:val="bottom"/>
            <w:hideMark/>
          </w:tcPr>
          <w:p w14:paraId="0E882CE7" w14:textId="77777777" w:rsidR="00A95CAF" w:rsidRPr="00A95CAF" w:rsidRDefault="00A95CAF" w:rsidP="003E1AFF">
            <w:pPr>
              <w:jc w:val="right"/>
            </w:pPr>
            <w:r w:rsidRPr="00A95CAF">
              <w:t>5.56</w:t>
            </w:r>
          </w:p>
        </w:tc>
        <w:tc>
          <w:tcPr>
            <w:tcW w:w="810" w:type="dxa"/>
            <w:shd w:val="clear" w:color="auto" w:fill="auto"/>
            <w:noWrap/>
            <w:vAlign w:val="bottom"/>
            <w:hideMark/>
          </w:tcPr>
          <w:p w14:paraId="192F483A" w14:textId="77777777" w:rsidR="00A95CAF" w:rsidRPr="00A95CAF" w:rsidRDefault="00A95CAF" w:rsidP="003E1AFF">
            <w:pPr>
              <w:jc w:val="right"/>
            </w:pPr>
            <w:r w:rsidRPr="00A95CAF">
              <w:t>5.01</w:t>
            </w:r>
          </w:p>
        </w:tc>
        <w:tc>
          <w:tcPr>
            <w:tcW w:w="810" w:type="dxa"/>
            <w:shd w:val="clear" w:color="auto" w:fill="auto"/>
            <w:noWrap/>
            <w:vAlign w:val="bottom"/>
            <w:hideMark/>
          </w:tcPr>
          <w:p w14:paraId="45F29649" w14:textId="77777777" w:rsidR="00A95CAF" w:rsidRPr="00A95CAF" w:rsidRDefault="00A95CAF" w:rsidP="003E1AFF">
            <w:pPr>
              <w:jc w:val="right"/>
            </w:pPr>
            <w:r w:rsidRPr="00A95CAF">
              <w:t>4.88</w:t>
            </w:r>
          </w:p>
        </w:tc>
        <w:tc>
          <w:tcPr>
            <w:tcW w:w="810" w:type="dxa"/>
            <w:shd w:val="clear" w:color="auto" w:fill="auto"/>
            <w:noWrap/>
            <w:vAlign w:val="bottom"/>
            <w:hideMark/>
          </w:tcPr>
          <w:p w14:paraId="067C57B9" w14:textId="77777777" w:rsidR="00A95CAF" w:rsidRPr="00A95CAF" w:rsidRDefault="00A95CAF" w:rsidP="003E1AFF">
            <w:pPr>
              <w:jc w:val="right"/>
            </w:pPr>
            <w:r w:rsidRPr="00A95CAF">
              <w:t>5.03</w:t>
            </w:r>
          </w:p>
        </w:tc>
        <w:tc>
          <w:tcPr>
            <w:tcW w:w="810" w:type="dxa"/>
            <w:shd w:val="clear" w:color="auto" w:fill="auto"/>
            <w:noWrap/>
            <w:vAlign w:val="bottom"/>
            <w:hideMark/>
          </w:tcPr>
          <w:p w14:paraId="6B3E0894" w14:textId="77777777" w:rsidR="00A95CAF" w:rsidRPr="00A95CAF" w:rsidRDefault="00A95CAF" w:rsidP="003E1AFF">
            <w:pPr>
              <w:jc w:val="right"/>
            </w:pPr>
            <w:r w:rsidRPr="00A95CAF">
              <w:t>5.07</w:t>
            </w:r>
          </w:p>
        </w:tc>
      </w:tr>
    </w:tbl>
    <w:p w14:paraId="70D19E31" w14:textId="77777777" w:rsidR="00A95CAF" w:rsidRPr="00A95CAF" w:rsidRDefault="00A95CAF" w:rsidP="00A95CAF">
      <w:pPr>
        <w:ind w:firstLine="360"/>
        <w:jc w:val="both"/>
        <w:rPr>
          <w:rFonts w:eastAsia="Times"/>
        </w:rPr>
      </w:pPr>
    </w:p>
    <w:p w14:paraId="55AEE3A7" w14:textId="77777777" w:rsidR="00A95CAF" w:rsidRDefault="00A95CAF" w:rsidP="00A95CAF">
      <w:pPr>
        <w:ind w:firstLine="360"/>
        <w:jc w:val="both"/>
      </w:pPr>
      <w:r>
        <w:t>Nuraini (2019) stated that trade openness has a significant effect on economic growth in ASEAN. Leitao and Carles (2012) stated that international trade has a positive relationship to economic growth. Nuraini (2019) stated that trade openness has a significant effe</w:t>
      </w:r>
      <w:r>
        <w:t>ct on economic growth in ASEAN.</w:t>
      </w:r>
    </w:p>
    <w:p w14:paraId="02639225" w14:textId="244CEC5E" w:rsidR="00A95CAF" w:rsidRDefault="00A95CAF" w:rsidP="00A95CAF">
      <w:pPr>
        <w:ind w:firstLine="360"/>
        <w:jc w:val="both"/>
      </w:pPr>
      <w:r>
        <w:t xml:space="preserve">The components of financial disclosure consist of FDI (27.3%), portfolio investment (16.9%), foreign debt (25.7%), foreign exchange reserves (3.2%) and balance of payments (26.9%). One of the measures of financial openness is Foreign Direct Investment (FDI). FDI is one of the </w:t>
      </w:r>
      <w:r w:rsidR="0076065F">
        <w:t>critical</w:t>
      </w:r>
      <w:r>
        <w:t xml:space="preserve"> sources of financing for developing countries, including ASEAN countries, which </w:t>
      </w:r>
      <w:r w:rsidR="0076065F">
        <w:t>are averag</w:t>
      </w:r>
      <w:r>
        <w:t>e developing countries. Transfer of technology, supply of absorbed human resources, research and innovation, improvement of management skills and capacities, job opportunities, etc.</w:t>
      </w:r>
      <w:r w:rsidR="0076065F">
        <w:t>,</w:t>
      </w:r>
      <w:r>
        <w:t xml:space="preserve"> are the benefits of FDI to the country where it is invested.</w:t>
      </w:r>
    </w:p>
    <w:p w14:paraId="0F7BA7AE" w14:textId="76D6BB3C" w:rsidR="00A95CAF" w:rsidRDefault="00A95CAF" w:rsidP="00A95CAF">
      <w:pPr>
        <w:spacing w:line="276" w:lineRule="auto"/>
        <w:jc w:val="both"/>
      </w:pPr>
    </w:p>
    <w:p w14:paraId="64434282" w14:textId="05AE14E0" w:rsidR="00274BE6" w:rsidRPr="00A95CAF" w:rsidRDefault="008153B4" w:rsidP="00A95CAF">
      <w:pPr>
        <w:spacing w:line="276" w:lineRule="auto"/>
        <w:jc w:val="both"/>
        <w:rPr>
          <w:lang w:val="id-ID"/>
        </w:rPr>
      </w:pPr>
      <w:r w:rsidRPr="0042530D">
        <w:rPr>
          <w:rFonts w:eastAsia="Times"/>
          <w:b/>
          <w:sz w:val="24"/>
          <w:szCs w:val="24"/>
        </w:rPr>
        <w:t>References</w:t>
      </w:r>
    </w:p>
    <w:p w14:paraId="296DD00C" w14:textId="77777777" w:rsidR="0076065F" w:rsidRPr="0076065F" w:rsidRDefault="0076065F" w:rsidP="0076065F">
      <w:pPr>
        <w:pStyle w:val="ICST-References"/>
        <w:autoSpaceDE w:val="0"/>
        <w:autoSpaceDN w:val="0"/>
        <w:adjustRightInd w:val="0"/>
        <w:ind w:left="720" w:hanging="360"/>
        <w:rPr>
          <w:rFonts w:eastAsiaTheme="minorHAnsi"/>
          <w:sz w:val="20"/>
          <w:szCs w:val="20"/>
          <w:lang w:val="id-ID"/>
        </w:rPr>
      </w:pPr>
      <w:r w:rsidRPr="0076065F">
        <w:rPr>
          <w:rFonts w:eastAsiaTheme="minorHAnsi"/>
          <w:sz w:val="20"/>
          <w:szCs w:val="20"/>
          <w:lang w:val="id-ID"/>
        </w:rPr>
        <w:t xml:space="preserve">Balestrini, P. P. 2001. Amidst the digital economy, philanthropy in business as a source of competitive advantage. </w:t>
      </w:r>
      <w:r w:rsidRPr="0076065F">
        <w:rPr>
          <w:rFonts w:eastAsiaTheme="minorHAnsi"/>
          <w:i/>
          <w:iCs/>
          <w:sz w:val="20"/>
          <w:szCs w:val="20"/>
          <w:lang w:val="id-ID"/>
        </w:rPr>
        <w:t>Journal of International Marketing and Marketing Research</w:t>
      </w:r>
      <w:r w:rsidRPr="0076065F">
        <w:rPr>
          <w:rFonts w:eastAsiaTheme="minorHAnsi"/>
          <w:iCs/>
          <w:sz w:val="20"/>
          <w:szCs w:val="20"/>
          <w:lang w:val="id-ID"/>
        </w:rPr>
        <w:t>. 26</w:t>
      </w:r>
      <w:r w:rsidRPr="0076065F">
        <w:rPr>
          <w:rFonts w:eastAsiaTheme="minorHAnsi"/>
          <w:sz w:val="20"/>
          <w:szCs w:val="20"/>
          <w:lang w:val="id-ID"/>
        </w:rPr>
        <w:t xml:space="preserve">(1February): 13–34.  </w:t>
      </w:r>
    </w:p>
    <w:p w14:paraId="6E4ADBB6" w14:textId="77777777" w:rsidR="0076065F" w:rsidRPr="0076065F" w:rsidRDefault="0076065F" w:rsidP="0076065F">
      <w:pPr>
        <w:pStyle w:val="ICST-References"/>
        <w:autoSpaceDE w:val="0"/>
        <w:autoSpaceDN w:val="0"/>
        <w:adjustRightInd w:val="0"/>
        <w:ind w:left="720" w:hanging="360"/>
        <w:rPr>
          <w:rFonts w:eastAsia="Arial Unicode MS"/>
          <w:sz w:val="20"/>
          <w:szCs w:val="20"/>
          <w:lang w:val="id-ID"/>
        </w:rPr>
      </w:pPr>
      <w:r w:rsidRPr="0076065F">
        <w:rPr>
          <w:rFonts w:eastAsia="Arial Unicode MS"/>
          <w:sz w:val="20"/>
          <w:szCs w:val="20"/>
          <w:lang w:val="id-ID"/>
        </w:rPr>
        <w:t xml:space="preserve">Dreher, A. 2006. </w:t>
      </w:r>
      <w:r w:rsidRPr="0076065F">
        <w:rPr>
          <w:rFonts w:eastAsia="Arial Unicode MS"/>
          <w:i/>
          <w:sz w:val="20"/>
          <w:szCs w:val="20"/>
          <w:lang w:val="id-ID"/>
        </w:rPr>
        <w:t>Does Globalization Affect Growth? Evidence from a new Index of Globalization</w:t>
      </w:r>
      <w:r w:rsidRPr="0076065F">
        <w:rPr>
          <w:rFonts w:eastAsia="Arial Unicode MS"/>
          <w:sz w:val="20"/>
          <w:szCs w:val="20"/>
          <w:lang w:val="id-ID"/>
        </w:rPr>
        <w:t>. Applied Economics .Vol 8 (10). 1091-1110.</w:t>
      </w:r>
    </w:p>
    <w:p w14:paraId="48DBCD14" w14:textId="77777777" w:rsidR="0076065F" w:rsidRPr="0076065F" w:rsidRDefault="0076065F" w:rsidP="0076065F">
      <w:pPr>
        <w:pStyle w:val="ICST-References"/>
        <w:ind w:left="720" w:hanging="360"/>
        <w:rPr>
          <w:rFonts w:eastAsia="Arial Unicode MS"/>
          <w:sz w:val="20"/>
          <w:szCs w:val="20"/>
          <w:lang w:val="id-ID"/>
        </w:rPr>
      </w:pPr>
      <w:r w:rsidRPr="0076065F">
        <w:rPr>
          <w:rFonts w:eastAsia="Arial Unicode MS"/>
          <w:sz w:val="20"/>
          <w:szCs w:val="20"/>
          <w:lang w:val="id-ID"/>
        </w:rPr>
        <w:lastRenderedPageBreak/>
        <w:t xml:space="preserve">Ellwood, W. 2001. </w:t>
      </w:r>
      <w:bookmarkStart w:id="0" w:name="_GoBack"/>
      <w:bookmarkEnd w:id="0"/>
      <w:r w:rsidRPr="0076065F">
        <w:rPr>
          <w:rFonts w:eastAsia="Arial Unicode MS"/>
          <w:i/>
          <w:sz w:val="20"/>
          <w:szCs w:val="20"/>
          <w:lang w:val="id-ID"/>
        </w:rPr>
        <w:t>The Neo-Nonsense Guide to Globalization</w:t>
      </w:r>
      <w:r w:rsidRPr="0076065F">
        <w:rPr>
          <w:rFonts w:eastAsia="Arial Unicode MS"/>
          <w:sz w:val="20"/>
          <w:szCs w:val="20"/>
          <w:lang w:val="id-ID"/>
        </w:rPr>
        <w:t>. London, Verso.</w:t>
      </w:r>
    </w:p>
    <w:p w14:paraId="5D0FD683" w14:textId="77777777" w:rsidR="0076065F" w:rsidRPr="0076065F" w:rsidRDefault="0076065F" w:rsidP="0076065F">
      <w:pPr>
        <w:pStyle w:val="ICST-References"/>
        <w:autoSpaceDE w:val="0"/>
        <w:autoSpaceDN w:val="0"/>
        <w:adjustRightInd w:val="0"/>
        <w:ind w:left="720" w:hanging="360"/>
        <w:rPr>
          <w:rFonts w:eastAsiaTheme="minorHAnsi"/>
          <w:color w:val="000000"/>
          <w:sz w:val="20"/>
          <w:szCs w:val="20"/>
          <w:lang w:val="id-ID"/>
        </w:rPr>
      </w:pPr>
      <w:r w:rsidRPr="0076065F">
        <w:rPr>
          <w:rFonts w:eastAsiaTheme="minorHAnsi"/>
          <w:iCs/>
          <w:color w:val="000000"/>
          <w:sz w:val="20"/>
          <w:szCs w:val="20"/>
          <w:lang w:val="id-ID"/>
        </w:rPr>
        <w:t>KOF</w:t>
      </w:r>
      <w:r w:rsidRPr="0076065F">
        <w:rPr>
          <w:rFonts w:eastAsiaTheme="minorHAnsi"/>
          <w:i/>
          <w:iCs/>
          <w:color w:val="000000"/>
          <w:sz w:val="20"/>
          <w:szCs w:val="20"/>
          <w:lang w:val="id-ID"/>
        </w:rPr>
        <w:t xml:space="preserve"> Index of Globalization.</w:t>
      </w:r>
      <w:r w:rsidRPr="0076065F">
        <w:rPr>
          <w:rFonts w:eastAsiaTheme="minorHAnsi"/>
          <w:color w:val="000000"/>
          <w:sz w:val="20"/>
          <w:szCs w:val="20"/>
          <w:lang w:val="id-ID"/>
        </w:rPr>
        <w:t xml:space="preserve"> 2019. Zurich: Eidgenössische Technische Hochschule Zürich. </w:t>
      </w:r>
      <w:hyperlink r:id="rId8" w:history="1">
        <w:r w:rsidRPr="0076065F">
          <w:rPr>
            <w:rStyle w:val="Hyperlink"/>
            <w:rFonts w:eastAsiaTheme="minorHAnsi"/>
            <w:color w:val="auto"/>
            <w:sz w:val="20"/>
            <w:szCs w:val="20"/>
            <w:lang w:val="id-ID"/>
          </w:rPr>
          <w:t>http://kof.enthz.ch/enforecast-and-indicators/indicators/kof-globalisation-index.html</w:t>
        </w:r>
      </w:hyperlink>
      <w:r w:rsidRPr="0076065F">
        <w:rPr>
          <w:rFonts w:eastAsiaTheme="minorHAnsi"/>
          <w:sz w:val="20"/>
          <w:szCs w:val="20"/>
          <w:lang w:val="id-ID"/>
        </w:rPr>
        <w:t xml:space="preserve">. </w:t>
      </w:r>
    </w:p>
    <w:p w14:paraId="55D316E1" w14:textId="77777777" w:rsidR="0076065F" w:rsidRPr="0076065F" w:rsidRDefault="0076065F" w:rsidP="0076065F">
      <w:pPr>
        <w:pStyle w:val="ICST-References"/>
        <w:autoSpaceDE w:val="0"/>
        <w:autoSpaceDN w:val="0"/>
        <w:adjustRightInd w:val="0"/>
        <w:ind w:left="720" w:hanging="360"/>
        <w:rPr>
          <w:i/>
          <w:iCs/>
          <w:sz w:val="20"/>
          <w:szCs w:val="20"/>
          <w:lang w:val="id-ID"/>
        </w:rPr>
      </w:pPr>
      <w:r w:rsidRPr="0076065F">
        <w:rPr>
          <w:sz w:val="20"/>
          <w:szCs w:val="20"/>
          <w:lang w:val="id-ID"/>
        </w:rPr>
        <w:t xml:space="preserve">Lauridsen, Jorgen T., Fatma Zeren, and Ayse Ari. 2013. </w:t>
      </w:r>
      <w:r w:rsidRPr="0076065F">
        <w:rPr>
          <w:i/>
          <w:iCs/>
          <w:sz w:val="20"/>
          <w:szCs w:val="20"/>
          <w:lang w:val="id-ID"/>
        </w:rPr>
        <w:t>A spatial panel data analysis of crime rates in EU</w:t>
      </w:r>
      <w:r w:rsidRPr="0076065F">
        <w:rPr>
          <w:sz w:val="20"/>
          <w:szCs w:val="20"/>
          <w:lang w:val="id-ID"/>
        </w:rPr>
        <w:t>. Discussion Papers on Business and Economics, No. 2/201.</w:t>
      </w:r>
    </w:p>
    <w:p w14:paraId="75BAC865" w14:textId="77777777" w:rsidR="0076065F" w:rsidRDefault="0076065F" w:rsidP="0076065F">
      <w:pPr>
        <w:pStyle w:val="ICST-References"/>
        <w:ind w:left="720" w:hanging="360"/>
        <w:rPr>
          <w:sz w:val="20"/>
          <w:szCs w:val="20"/>
          <w:lang w:val="id-ID"/>
        </w:rPr>
      </w:pPr>
      <w:r w:rsidRPr="0076065F">
        <w:rPr>
          <w:sz w:val="20"/>
          <w:szCs w:val="20"/>
          <w:lang w:val="id-ID"/>
        </w:rPr>
        <w:t xml:space="preserve">Leitao dan Nuno Carlos. 2010. The Impact of Trade on Economic Growth. MPRA Paper. </w:t>
      </w:r>
    </w:p>
    <w:p w14:paraId="67ED7FB6" w14:textId="77777777" w:rsidR="0076065F" w:rsidRPr="0076065F" w:rsidRDefault="0076065F" w:rsidP="0076065F">
      <w:pPr>
        <w:pStyle w:val="ICST-References"/>
        <w:autoSpaceDE w:val="0"/>
        <w:autoSpaceDN w:val="0"/>
        <w:adjustRightInd w:val="0"/>
        <w:ind w:left="720" w:hanging="360"/>
        <w:rPr>
          <w:sz w:val="20"/>
          <w:szCs w:val="20"/>
          <w:lang w:val="id-ID"/>
        </w:rPr>
      </w:pPr>
      <w:r w:rsidRPr="0076065F">
        <w:rPr>
          <w:sz w:val="20"/>
          <w:szCs w:val="20"/>
          <w:lang w:val="id-ID"/>
        </w:rPr>
        <w:t xml:space="preserve">Nowbutsing, B. M. 2014. The impact of openness on economic growth: Case of Indian Ocean Rim countries. Amerika: </w:t>
      </w:r>
      <w:r w:rsidRPr="0076065F">
        <w:rPr>
          <w:i/>
          <w:iCs/>
          <w:sz w:val="20"/>
          <w:szCs w:val="20"/>
          <w:lang w:val="id-ID"/>
        </w:rPr>
        <w:t>Journal of Economics and Devlopment Studies.</w:t>
      </w:r>
    </w:p>
    <w:p w14:paraId="49A4F131" w14:textId="57F30DF7" w:rsidR="0076065F" w:rsidRPr="0076065F" w:rsidRDefault="0076065F" w:rsidP="0076065F">
      <w:pPr>
        <w:pStyle w:val="ICST-References"/>
        <w:ind w:left="720" w:hanging="360"/>
        <w:rPr>
          <w:sz w:val="20"/>
          <w:szCs w:val="20"/>
          <w:lang w:val="id-ID"/>
        </w:rPr>
      </w:pPr>
      <w:r w:rsidRPr="0076065F">
        <w:rPr>
          <w:sz w:val="20"/>
          <w:szCs w:val="20"/>
          <w:lang w:val="id-ID"/>
        </w:rPr>
        <w:t xml:space="preserve">Todaro, Michael dan Stephen Smith. 2006. </w:t>
      </w:r>
      <w:r w:rsidRPr="0076065F">
        <w:rPr>
          <w:i/>
          <w:iCs/>
          <w:sz w:val="20"/>
          <w:szCs w:val="20"/>
          <w:lang w:val="id-ID"/>
        </w:rPr>
        <w:t>Pembangunan Ekonomi. Jilid 1, terj. Haris Munandar</w:t>
      </w:r>
      <w:r w:rsidRPr="0076065F">
        <w:rPr>
          <w:sz w:val="20"/>
          <w:szCs w:val="20"/>
          <w:lang w:val="id-ID"/>
        </w:rPr>
        <w:t>. Jakarta: Erlangga</w:t>
      </w:r>
      <w:r w:rsidRPr="0076065F">
        <w:rPr>
          <w:bCs w:val="0"/>
          <w:sz w:val="20"/>
          <w:szCs w:val="20"/>
          <w:lang w:val="id-ID"/>
        </w:rPr>
        <w:t xml:space="preserve"> </w:t>
      </w:r>
    </w:p>
    <w:p w14:paraId="5CC7D9B5" w14:textId="1DA72FD0" w:rsidR="0076065F" w:rsidRPr="0076065F" w:rsidRDefault="0076065F" w:rsidP="0076065F">
      <w:pPr>
        <w:pStyle w:val="ICST-References"/>
        <w:ind w:left="720" w:hanging="360"/>
        <w:rPr>
          <w:sz w:val="20"/>
          <w:szCs w:val="20"/>
          <w:lang w:val="id-ID"/>
        </w:rPr>
      </w:pPr>
      <w:r w:rsidRPr="0076065F">
        <w:rPr>
          <w:bCs w:val="0"/>
          <w:sz w:val="20"/>
          <w:szCs w:val="20"/>
          <w:lang w:val="id-ID"/>
        </w:rPr>
        <w:t>Verter, N. dan Osakwe, C. N. 2015. Economic Globalization and Economic Performance Dynamics: Some New Empirical Evidence From Nigeria. Mediterranean Journal of Social Sciences. Vol 6. No. 1.</w:t>
      </w:r>
    </w:p>
    <w:p w14:paraId="2AC47FC0" w14:textId="28882DCC" w:rsidR="0076065F" w:rsidRPr="0076065F" w:rsidRDefault="0076065F" w:rsidP="0076065F">
      <w:pPr>
        <w:pStyle w:val="ICST-References"/>
        <w:ind w:left="720" w:hanging="360"/>
        <w:rPr>
          <w:sz w:val="20"/>
          <w:szCs w:val="20"/>
          <w:shd w:val="clear" w:color="auto" w:fill="FFFFFF"/>
          <w:lang w:val="id-ID"/>
        </w:rPr>
      </w:pPr>
      <w:r w:rsidRPr="0076065F">
        <w:rPr>
          <w:sz w:val="20"/>
          <w:szCs w:val="20"/>
          <w:shd w:val="clear" w:color="auto" w:fill="FFFFFF"/>
          <w:lang w:val="id-ID"/>
        </w:rPr>
        <w:t xml:space="preserve">Widarjono, Agus. 2007. </w:t>
      </w:r>
      <w:r w:rsidRPr="0076065F">
        <w:rPr>
          <w:i/>
          <w:sz w:val="20"/>
          <w:szCs w:val="20"/>
          <w:shd w:val="clear" w:color="auto" w:fill="FFFFFF"/>
          <w:lang w:val="id-ID"/>
        </w:rPr>
        <w:t>Ekonometrika Teori &amp; Aplikasi</w:t>
      </w:r>
      <w:r w:rsidRPr="0076065F">
        <w:rPr>
          <w:sz w:val="20"/>
          <w:szCs w:val="20"/>
          <w:shd w:val="clear" w:color="auto" w:fill="FFFFFF"/>
          <w:lang w:val="id-ID"/>
        </w:rPr>
        <w:t xml:space="preserve">. Yogyakarta: Penerbit </w:t>
      </w:r>
      <w:r w:rsidRPr="0076065F">
        <w:rPr>
          <w:sz w:val="20"/>
          <w:szCs w:val="20"/>
          <w:shd w:val="clear" w:color="auto" w:fill="FFFFFF"/>
          <w:lang w:val="id-ID"/>
        </w:rPr>
        <w:t>Ekonosia FE UI.</w:t>
      </w:r>
    </w:p>
    <w:p w14:paraId="14F6EC10" w14:textId="77777777" w:rsidR="0076065F" w:rsidRPr="0076065F" w:rsidRDefault="0076065F" w:rsidP="0076065F">
      <w:pPr>
        <w:pStyle w:val="ICST-References"/>
        <w:ind w:left="720" w:hanging="360"/>
        <w:rPr>
          <w:sz w:val="20"/>
          <w:szCs w:val="20"/>
          <w:shd w:val="clear" w:color="auto" w:fill="FFFFFF"/>
          <w:lang w:val="id-ID"/>
        </w:rPr>
      </w:pPr>
      <w:r w:rsidRPr="0076065F">
        <w:rPr>
          <w:sz w:val="20"/>
          <w:szCs w:val="20"/>
          <w:shd w:val="clear" w:color="auto" w:fill="FFFFFF"/>
          <w:lang w:val="id-ID"/>
        </w:rPr>
        <w:t xml:space="preserve">Winarno, Budi. 2006. </w:t>
      </w:r>
      <w:r w:rsidRPr="0076065F">
        <w:rPr>
          <w:i/>
          <w:sz w:val="20"/>
          <w:szCs w:val="20"/>
          <w:shd w:val="clear" w:color="auto" w:fill="FFFFFF"/>
          <w:lang w:val="id-ID"/>
        </w:rPr>
        <w:t>Globalisasi Peluang atau Ancaman bagi Indonesia</w:t>
      </w:r>
      <w:r w:rsidRPr="0076065F">
        <w:rPr>
          <w:sz w:val="20"/>
          <w:szCs w:val="20"/>
          <w:shd w:val="clear" w:color="auto" w:fill="FFFFFF"/>
          <w:lang w:val="id-ID"/>
        </w:rPr>
        <w:t>. Jakarta: Penerbit Erlangga.</w:t>
      </w:r>
    </w:p>
    <w:p w14:paraId="4F65ADFC" w14:textId="53A6146E" w:rsidR="0076065F" w:rsidRPr="0076065F" w:rsidRDefault="0076065F" w:rsidP="0076065F">
      <w:pPr>
        <w:pStyle w:val="ICST-References"/>
        <w:numPr>
          <w:ilvl w:val="0"/>
          <w:numId w:val="0"/>
        </w:numPr>
        <w:ind w:right="-1"/>
        <w:rPr>
          <w:sz w:val="20"/>
          <w:szCs w:val="20"/>
          <w:lang w:val="id-ID"/>
        </w:rPr>
      </w:pPr>
    </w:p>
    <w:p w14:paraId="1FD081F9" w14:textId="77777777" w:rsidR="00274BE6" w:rsidRPr="0042530D" w:rsidRDefault="00274BE6">
      <w:pPr>
        <w:ind w:firstLine="227"/>
        <w:jc w:val="both"/>
      </w:pPr>
    </w:p>
    <w:sectPr w:rsidR="00274BE6" w:rsidRPr="0042530D" w:rsidSect="00B17912">
      <w:footerReference w:type="default" r:id="rId9"/>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CE774" w14:textId="77777777" w:rsidR="00236C06" w:rsidRDefault="00236C06">
      <w:r>
        <w:separator/>
      </w:r>
    </w:p>
  </w:endnote>
  <w:endnote w:type="continuationSeparator" w:id="0">
    <w:p w14:paraId="6CFFCAC4" w14:textId="77777777" w:rsidR="00236C06" w:rsidRDefault="0023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A4F8" w14:textId="77777777" w:rsidR="00274BE6" w:rsidRDefault="00274BE6">
    <w:pPr>
      <w:jc w:val="both"/>
    </w:pPr>
  </w:p>
  <w:p w14:paraId="49318041" w14:textId="77777777" w:rsidR="00274BE6" w:rsidRDefault="00274BE6">
    <w:pPr>
      <w:jc w:val="both"/>
    </w:pPr>
  </w:p>
  <w:p w14:paraId="0B12265E" w14:textId="77777777" w:rsidR="00274BE6" w:rsidRDefault="00274BE6">
    <w:pPr>
      <w:jc w:val="both"/>
    </w:pPr>
  </w:p>
  <w:p w14:paraId="5256951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B94B3" w14:textId="77777777" w:rsidR="00236C06" w:rsidRDefault="00236C06">
      <w:r>
        <w:separator/>
      </w:r>
    </w:p>
  </w:footnote>
  <w:footnote w:type="continuationSeparator" w:id="0">
    <w:p w14:paraId="6D9ACAA5" w14:textId="77777777" w:rsidR="00236C06" w:rsidRDefault="0023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E1F5E"/>
    <w:multiLevelType w:val="hybridMultilevel"/>
    <w:tmpl w:val="E9D67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92BF3"/>
    <w:multiLevelType w:val="hybridMultilevel"/>
    <w:tmpl w:val="FE468E2C"/>
    <w:lvl w:ilvl="0" w:tplc="AAFC1080">
      <w:start w:val="1"/>
      <w:numFmt w:val="decimal"/>
      <w:pStyle w:val="ICST-References"/>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Q0MTM2NjU0MTVU0lEKTi0uzszPAykwqgUAk8MWbywAAAA="/>
  </w:docVars>
  <w:rsids>
    <w:rsidRoot w:val="00274BE6"/>
    <w:rsid w:val="0011157D"/>
    <w:rsid w:val="001920AD"/>
    <w:rsid w:val="001B1E4E"/>
    <w:rsid w:val="00236C06"/>
    <w:rsid w:val="00274BE6"/>
    <w:rsid w:val="00295D4E"/>
    <w:rsid w:val="0042530D"/>
    <w:rsid w:val="004279E8"/>
    <w:rsid w:val="004608E2"/>
    <w:rsid w:val="00472F54"/>
    <w:rsid w:val="006F477D"/>
    <w:rsid w:val="00717E25"/>
    <w:rsid w:val="0076065F"/>
    <w:rsid w:val="008153B4"/>
    <w:rsid w:val="00824D1D"/>
    <w:rsid w:val="00830E44"/>
    <w:rsid w:val="008C4935"/>
    <w:rsid w:val="0090021A"/>
    <w:rsid w:val="00977570"/>
    <w:rsid w:val="009809A4"/>
    <w:rsid w:val="009E4199"/>
    <w:rsid w:val="00A1438B"/>
    <w:rsid w:val="00A417FC"/>
    <w:rsid w:val="00A95CAF"/>
    <w:rsid w:val="00B17912"/>
    <w:rsid w:val="00B359FC"/>
    <w:rsid w:val="00B423D2"/>
    <w:rsid w:val="00BC18BA"/>
    <w:rsid w:val="00C1154A"/>
    <w:rsid w:val="00C11E33"/>
    <w:rsid w:val="00C8277C"/>
    <w:rsid w:val="00CE0C56"/>
    <w:rsid w:val="00D56B19"/>
    <w:rsid w:val="00DB7A1C"/>
    <w:rsid w:val="00EE72B7"/>
    <w:rsid w:val="00F1744E"/>
    <w:rsid w:val="00F56C17"/>
    <w:rsid w:val="00F60277"/>
    <w:rsid w:val="00FC15B8"/>
    <w:rsid w:val="00FC69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519E"/>
  <w15:docId w15:val="{DEC0CB7D-0A12-498D-BAC7-785B62D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5CAF"/>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F56C17"/>
    <w:rPr>
      <w:rFonts w:ascii="Tahoma" w:hAnsi="Tahoma" w:cs="Tahoma"/>
      <w:sz w:val="16"/>
      <w:szCs w:val="16"/>
    </w:rPr>
  </w:style>
  <w:style w:type="character" w:customStyle="1" w:styleId="BalloonTextChar">
    <w:name w:val="Balloon Text Char"/>
    <w:basedOn w:val="DefaultParagraphFont"/>
    <w:link w:val="BalloonText"/>
    <w:uiPriority w:val="99"/>
    <w:semiHidden/>
    <w:rsid w:val="00F56C17"/>
    <w:rPr>
      <w:rFonts w:ascii="Tahoma" w:hAnsi="Tahoma" w:cs="Tahoma"/>
      <w:sz w:val="16"/>
      <w:szCs w:val="16"/>
    </w:rPr>
  </w:style>
  <w:style w:type="paragraph" w:customStyle="1" w:styleId="ICST-References">
    <w:name w:val="ICST-References"/>
    <w:qFormat/>
    <w:rsid w:val="00C11E33"/>
    <w:pPr>
      <w:numPr>
        <w:numId w:val="1"/>
      </w:numPr>
      <w:ind w:left="400" w:hanging="400"/>
      <w:jc w:val="both"/>
    </w:pPr>
    <w:rPr>
      <w:bCs/>
      <w:color w:val="auto"/>
      <w:sz w:val="18"/>
      <w:szCs w:val="18"/>
      <w:lang w:val="en-GB" w:eastAsia="en-GB"/>
    </w:rPr>
  </w:style>
  <w:style w:type="character" w:styleId="Hyperlink">
    <w:name w:val="Hyperlink"/>
    <w:basedOn w:val="DefaultParagraphFont"/>
    <w:uiPriority w:val="99"/>
    <w:unhideWhenUsed/>
    <w:rsid w:val="00BC18BA"/>
    <w:rPr>
      <w:color w:val="0563C1" w:themeColor="hyperlink"/>
      <w:u w:val="single"/>
    </w:rPr>
  </w:style>
  <w:style w:type="paragraph" w:styleId="ListParagraph">
    <w:name w:val="List Paragraph"/>
    <w:aliases w:val="Body of text,List Paragraph1"/>
    <w:basedOn w:val="Normal"/>
    <w:link w:val="ListParagraphChar"/>
    <w:uiPriority w:val="1"/>
    <w:qFormat/>
    <w:rsid w:val="00FC15B8"/>
    <w:pPr>
      <w:ind w:left="720"/>
      <w:contextualSpacing/>
    </w:pPr>
  </w:style>
  <w:style w:type="table" w:styleId="TableGrid">
    <w:name w:val="Table Grid"/>
    <w:basedOn w:val="TableNormal"/>
    <w:uiPriority w:val="59"/>
    <w:rsid w:val="00FC15B8"/>
    <w:rPr>
      <w:rFonts w:ascii="Calibri" w:eastAsia="Calibri" w:hAnsi="Calibri" w:cs="SimSu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link w:val="ListParagraph"/>
    <w:uiPriority w:val="1"/>
    <w:rsid w:val="00FC15B8"/>
  </w:style>
  <w:style w:type="table" w:customStyle="1" w:styleId="TableGrid1">
    <w:name w:val="Table Grid1"/>
    <w:basedOn w:val="TableNormal"/>
    <w:next w:val="TableGrid"/>
    <w:uiPriority w:val="59"/>
    <w:rsid w:val="00830E44"/>
    <w:rPr>
      <w:rFonts w:ascii="Calibri" w:eastAsia="Calibri" w:hAnsi="Calibri" w:cs="SimSu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0E44"/>
    <w:pPr>
      <w:spacing w:before="100" w:beforeAutospacing="1" w:after="100" w:afterAutospacing="1"/>
    </w:pPr>
    <w:rPr>
      <w:rFonts w:eastAsia="SimSu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3192">
      <w:bodyDiv w:val="1"/>
      <w:marLeft w:val="0"/>
      <w:marRight w:val="0"/>
      <w:marTop w:val="0"/>
      <w:marBottom w:val="0"/>
      <w:divBdr>
        <w:top w:val="none" w:sz="0" w:space="0" w:color="auto"/>
        <w:left w:val="none" w:sz="0" w:space="0" w:color="auto"/>
        <w:bottom w:val="none" w:sz="0" w:space="0" w:color="auto"/>
        <w:right w:val="none" w:sz="0" w:space="0" w:color="auto"/>
      </w:divBdr>
    </w:div>
    <w:div w:id="140491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of.enthz.ch/enforecast-and-indicators/indicators/kof-globalisation-index.html"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FDI Inflow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Sheet1!$G$4</c:f>
              <c:strCache>
                <c:ptCount val="1"/>
                <c:pt idx="0">
                  <c:v>2018</c:v>
                </c:pt>
              </c:strCache>
            </c:strRef>
          </c:tx>
          <c:spPr>
            <a:solidFill>
              <a:schemeClr val="accent4">
                <a:shade val="65000"/>
              </a:schemeClr>
            </a:solidFill>
            <a:ln>
              <a:noFill/>
            </a:ln>
            <a:effectLst/>
          </c:spPr>
          <c:invertIfNegative val="0"/>
          <c:cat>
            <c:strRef>
              <c:f>Sheet1!$F$5:$F$7</c:f>
              <c:strCache>
                <c:ptCount val="3"/>
                <c:pt idx="0">
                  <c:v>Indonesia</c:v>
                </c:pt>
                <c:pt idx="1">
                  <c:v>Malaysia </c:v>
                </c:pt>
                <c:pt idx="2">
                  <c:v>Thailand</c:v>
                </c:pt>
              </c:strCache>
            </c:strRef>
          </c:cat>
          <c:val>
            <c:numRef>
              <c:f>Sheet1!$G$5:$G$7</c:f>
              <c:numCache>
                <c:formatCode>General</c:formatCode>
                <c:ptCount val="3"/>
                <c:pt idx="0">
                  <c:v>18</c:v>
                </c:pt>
                <c:pt idx="1">
                  <c:v>27.3</c:v>
                </c:pt>
                <c:pt idx="2">
                  <c:v>37.4</c:v>
                </c:pt>
              </c:numCache>
            </c:numRef>
          </c:val>
          <c:extLst>
            <c:ext xmlns:c16="http://schemas.microsoft.com/office/drawing/2014/chart" uri="{C3380CC4-5D6E-409C-BE32-E72D297353CC}">
              <c16:uniqueId val="{00000000-E175-4CC9-A984-ACE06BDA7F7B}"/>
            </c:ext>
          </c:extLst>
        </c:ser>
        <c:ser>
          <c:idx val="1"/>
          <c:order val="1"/>
          <c:tx>
            <c:strRef>
              <c:f>Sheet1!$H$4</c:f>
              <c:strCache>
                <c:ptCount val="1"/>
                <c:pt idx="0">
                  <c:v>2019</c:v>
                </c:pt>
              </c:strCache>
            </c:strRef>
          </c:tx>
          <c:spPr>
            <a:solidFill>
              <a:schemeClr val="accent4"/>
            </a:solidFill>
            <a:ln>
              <a:noFill/>
            </a:ln>
            <a:effectLst/>
          </c:spPr>
          <c:invertIfNegative val="0"/>
          <c:cat>
            <c:strRef>
              <c:f>Sheet1!$F$5:$F$7</c:f>
              <c:strCache>
                <c:ptCount val="3"/>
                <c:pt idx="0">
                  <c:v>Indonesia</c:v>
                </c:pt>
                <c:pt idx="1">
                  <c:v>Malaysia </c:v>
                </c:pt>
                <c:pt idx="2">
                  <c:v>Thailand</c:v>
                </c:pt>
              </c:strCache>
            </c:strRef>
          </c:cat>
          <c:val>
            <c:numRef>
              <c:f>Sheet1!$H$5:$H$7</c:f>
              <c:numCache>
                <c:formatCode>General</c:formatCode>
                <c:ptCount val="3"/>
                <c:pt idx="0">
                  <c:v>13.2</c:v>
                </c:pt>
                <c:pt idx="1">
                  <c:v>20.3</c:v>
                </c:pt>
                <c:pt idx="2">
                  <c:v>29.5</c:v>
                </c:pt>
              </c:numCache>
            </c:numRef>
          </c:val>
          <c:extLst>
            <c:ext xmlns:c16="http://schemas.microsoft.com/office/drawing/2014/chart" uri="{C3380CC4-5D6E-409C-BE32-E72D297353CC}">
              <c16:uniqueId val="{00000001-E175-4CC9-A984-ACE06BDA7F7B}"/>
            </c:ext>
          </c:extLst>
        </c:ser>
        <c:ser>
          <c:idx val="2"/>
          <c:order val="2"/>
          <c:tx>
            <c:strRef>
              <c:f>Sheet1!$I$4</c:f>
              <c:strCache>
                <c:ptCount val="1"/>
                <c:pt idx="0">
                  <c:v>2020</c:v>
                </c:pt>
              </c:strCache>
            </c:strRef>
          </c:tx>
          <c:spPr>
            <a:solidFill>
              <a:schemeClr val="accent4">
                <a:tint val="65000"/>
              </a:schemeClr>
            </a:solidFill>
            <a:ln>
              <a:noFill/>
            </a:ln>
            <a:effectLst/>
          </c:spPr>
          <c:invertIfNegative val="0"/>
          <c:cat>
            <c:strRef>
              <c:f>Sheet1!$F$5:$F$7</c:f>
              <c:strCache>
                <c:ptCount val="3"/>
                <c:pt idx="0">
                  <c:v>Indonesia</c:v>
                </c:pt>
                <c:pt idx="1">
                  <c:v>Malaysia </c:v>
                </c:pt>
                <c:pt idx="2">
                  <c:v>Thailand</c:v>
                </c:pt>
              </c:strCache>
            </c:strRef>
          </c:cat>
          <c:val>
            <c:numRef>
              <c:f>Sheet1!$I$5:$I$7</c:f>
              <c:numCache>
                <c:formatCode>General</c:formatCode>
                <c:ptCount val="3"/>
                <c:pt idx="0">
                  <c:v>16.100000000000001</c:v>
                </c:pt>
                <c:pt idx="1">
                  <c:v>26.1</c:v>
                </c:pt>
                <c:pt idx="2">
                  <c:v>28.4</c:v>
                </c:pt>
              </c:numCache>
            </c:numRef>
          </c:val>
          <c:extLst>
            <c:ext xmlns:c16="http://schemas.microsoft.com/office/drawing/2014/chart" uri="{C3380CC4-5D6E-409C-BE32-E72D297353CC}">
              <c16:uniqueId val="{00000002-E175-4CC9-A984-ACE06BDA7F7B}"/>
            </c:ext>
          </c:extLst>
        </c:ser>
        <c:dLbls>
          <c:showLegendKey val="0"/>
          <c:showVal val="0"/>
          <c:showCatName val="0"/>
          <c:showSerName val="0"/>
          <c:showPercent val="0"/>
          <c:showBubbleSize val="0"/>
        </c:dLbls>
        <c:gapWidth val="150"/>
        <c:overlap val="100"/>
        <c:axId val="412071551"/>
        <c:axId val="412059071"/>
      </c:barChart>
      <c:catAx>
        <c:axId val="412071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059071"/>
        <c:crosses val="autoZero"/>
        <c:auto val="1"/>
        <c:lblAlgn val="ctr"/>
        <c:lblOffset val="100"/>
        <c:noMultiLvlLbl val="0"/>
      </c:catAx>
      <c:valAx>
        <c:axId val="412059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071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2485</Words>
  <Characters>14170</Characters>
  <Application>Microsoft Office Word</Application>
  <DocSecurity>0</DocSecurity>
  <Lines>118</Lines>
  <Paragraphs>33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Arif Darmawan</cp:lastModifiedBy>
  <cp:revision>2</cp:revision>
  <dcterms:created xsi:type="dcterms:W3CDTF">2021-09-15T07:04:00Z</dcterms:created>
  <dcterms:modified xsi:type="dcterms:W3CDTF">2021-09-15T07:04:00Z</dcterms:modified>
</cp:coreProperties>
</file>