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99" w:rsidRPr="009F51D0" w:rsidRDefault="004E3B99" w:rsidP="009F51D0">
      <w:pPr>
        <w:tabs>
          <w:tab w:val="left" w:pos="284"/>
        </w:tabs>
        <w:spacing w:line="240" w:lineRule="auto"/>
        <w:jc w:val="center"/>
        <w:rPr>
          <w:rFonts w:ascii="Times New Roman" w:hAnsi="Times New Roman" w:cs="Times New Roman"/>
          <w:b/>
          <w:sz w:val="24"/>
          <w:szCs w:val="24"/>
        </w:rPr>
      </w:pPr>
      <w:r w:rsidRPr="009F51D0">
        <w:rPr>
          <w:rFonts w:ascii="Times New Roman" w:hAnsi="Times New Roman" w:cs="Times New Roman"/>
          <w:b/>
          <w:sz w:val="24"/>
          <w:szCs w:val="24"/>
        </w:rPr>
        <w:t>PERTANGGUNGJAWABAN PIDANA KORPORASI PERUSAHAAN PERKEBUNAN YANG MELAKUKAN PEMBAKARAN HUTAN</w:t>
      </w:r>
    </w:p>
    <w:p w:rsidR="004E3B99" w:rsidRDefault="004E3B99" w:rsidP="002D7E9A">
      <w:pPr>
        <w:tabs>
          <w:tab w:val="left" w:pos="284"/>
        </w:tabs>
        <w:jc w:val="center"/>
        <w:rPr>
          <w:rFonts w:ascii="Times New Roman" w:hAnsi="Times New Roman" w:cs="Times New Roman"/>
          <w:b/>
          <w:sz w:val="24"/>
          <w:szCs w:val="24"/>
          <w:vertAlign w:val="superscript"/>
        </w:rPr>
      </w:pPr>
      <w:r w:rsidRPr="002D7E9A">
        <w:rPr>
          <w:rFonts w:ascii="Times New Roman" w:hAnsi="Times New Roman" w:cs="Times New Roman"/>
          <w:b/>
          <w:sz w:val="24"/>
          <w:szCs w:val="24"/>
        </w:rPr>
        <w:t>Tri Andrisman</w:t>
      </w:r>
      <w:r w:rsidRPr="002D7E9A">
        <w:rPr>
          <w:rFonts w:ascii="Times New Roman" w:hAnsi="Times New Roman" w:cs="Times New Roman"/>
          <w:b/>
          <w:sz w:val="24"/>
          <w:szCs w:val="24"/>
          <w:vertAlign w:val="superscript"/>
        </w:rPr>
        <w:t>1</w:t>
      </w:r>
    </w:p>
    <w:p w:rsidR="00522CE2" w:rsidRPr="00522CE2" w:rsidRDefault="00522CE2" w:rsidP="002D7E9A">
      <w:pPr>
        <w:tabs>
          <w:tab w:val="left" w:pos="284"/>
        </w:tabs>
        <w:jc w:val="center"/>
        <w:rPr>
          <w:rFonts w:ascii="Times New Roman" w:hAnsi="Times New Roman" w:cs="Times New Roman"/>
          <w:b/>
          <w:sz w:val="24"/>
          <w:szCs w:val="24"/>
          <w:vertAlign w:val="superscript"/>
        </w:rPr>
      </w:pPr>
      <w:r w:rsidRPr="00522CE2">
        <w:rPr>
          <w:rFonts w:ascii="Times New Roman" w:hAnsi="Times New Roman" w:cs="Times New Roman"/>
          <w:b/>
          <w:sz w:val="24"/>
          <w:szCs w:val="24"/>
        </w:rPr>
        <w:t>Gunawan Jatmiko</w:t>
      </w:r>
      <w:r>
        <w:rPr>
          <w:rFonts w:ascii="Times New Roman" w:hAnsi="Times New Roman" w:cs="Times New Roman"/>
          <w:b/>
          <w:sz w:val="24"/>
          <w:szCs w:val="24"/>
          <w:vertAlign w:val="superscript"/>
        </w:rPr>
        <w:t>2</w:t>
      </w:r>
    </w:p>
    <w:p w:rsidR="004E3B99" w:rsidRDefault="00AA7524" w:rsidP="002D7E9A">
      <w:pPr>
        <w:tabs>
          <w:tab w:val="left" w:pos="284"/>
        </w:tabs>
        <w:jc w:val="center"/>
        <w:rPr>
          <w:rFonts w:ascii="Times New Roman" w:hAnsi="Times New Roman" w:cs="Times New Roman"/>
          <w:b/>
          <w:sz w:val="24"/>
          <w:szCs w:val="24"/>
          <w:vertAlign w:val="superscript"/>
        </w:rPr>
      </w:pPr>
      <w:r>
        <w:rPr>
          <w:rFonts w:ascii="Times New Roman" w:hAnsi="Times New Roman" w:cs="Times New Roman"/>
          <w:b/>
          <w:sz w:val="24"/>
          <w:szCs w:val="24"/>
        </w:rPr>
        <w:t>Sri Riski</w:t>
      </w:r>
      <w:r w:rsidR="00522CE2">
        <w:rPr>
          <w:rFonts w:ascii="Times New Roman" w:hAnsi="Times New Roman" w:cs="Times New Roman"/>
          <w:b/>
          <w:sz w:val="24"/>
          <w:szCs w:val="24"/>
          <w:vertAlign w:val="superscript"/>
        </w:rPr>
        <w:t>3</w:t>
      </w:r>
    </w:p>
    <w:p w:rsidR="00522CE2" w:rsidRDefault="00522CE2" w:rsidP="00522CE2">
      <w:pPr>
        <w:tabs>
          <w:tab w:val="left" w:pos="284"/>
        </w:tabs>
        <w:jc w:val="center"/>
        <w:rPr>
          <w:rFonts w:ascii="Times New Roman" w:hAnsi="Times New Roman" w:cs="Times New Roman"/>
          <w:sz w:val="24"/>
          <w:szCs w:val="24"/>
        </w:rPr>
      </w:pPr>
      <w:r w:rsidRPr="00B462FC">
        <w:rPr>
          <w:rFonts w:ascii="Times New Roman" w:hAnsi="Times New Roman" w:cs="Times New Roman"/>
          <w:sz w:val="24"/>
          <w:szCs w:val="24"/>
          <w:vertAlign w:val="superscript"/>
        </w:rPr>
        <w:t>1</w:t>
      </w:r>
      <w:r w:rsidRPr="00522CE2">
        <w:rPr>
          <w:rFonts w:ascii="Times New Roman" w:hAnsi="Times New Roman" w:cs="Times New Roman"/>
          <w:sz w:val="24"/>
          <w:szCs w:val="24"/>
        </w:rPr>
        <w:t>Law Faculty of Lampung University</w:t>
      </w:r>
    </w:p>
    <w:p w:rsidR="00AA7524" w:rsidRDefault="00522CE2" w:rsidP="00522CE2">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34271D">
          <w:rPr>
            <w:rStyle w:val="Hyperlink"/>
            <w:rFonts w:ascii="Times New Roman" w:hAnsi="Times New Roman" w:cs="Times New Roman"/>
            <w:sz w:val="24"/>
            <w:szCs w:val="24"/>
          </w:rPr>
          <w:t>triandrisman@gmail.com</w:t>
        </w:r>
      </w:hyperlink>
    </w:p>
    <w:p w:rsidR="00B462FC" w:rsidRPr="00B462FC" w:rsidRDefault="00B462FC" w:rsidP="00B462FC">
      <w:pPr>
        <w:tabs>
          <w:tab w:val="left" w:pos="284"/>
        </w:tabs>
        <w:jc w:val="center"/>
        <w:rPr>
          <w:rFonts w:ascii="Times New Roman" w:hAnsi="Times New Roman" w:cs="Times New Roman"/>
          <w:b/>
          <w:bCs/>
          <w:sz w:val="24"/>
          <w:szCs w:val="24"/>
        </w:rPr>
      </w:pPr>
      <w:r>
        <w:rPr>
          <w:rFonts w:ascii="Times New Roman" w:hAnsi="Times New Roman" w:cs="Times New Roman"/>
          <w:sz w:val="24"/>
          <w:szCs w:val="24"/>
          <w:vertAlign w:val="superscript"/>
        </w:rPr>
        <w:t>2</w:t>
      </w:r>
      <w:r w:rsidRPr="00B462FC">
        <w:rPr>
          <w:rFonts w:ascii="Times New Roman" w:hAnsi="Times New Roman" w:cs="Times New Roman"/>
          <w:sz w:val="24"/>
          <w:szCs w:val="24"/>
        </w:rPr>
        <w:t>Law Faculty of Lampung University</w:t>
      </w:r>
    </w:p>
    <w:p w:rsidR="00B462FC" w:rsidRDefault="00B462FC" w:rsidP="00522CE2">
      <w:pPr>
        <w:tabs>
          <w:tab w:val="left" w:pos="284"/>
        </w:tabs>
        <w:jc w:val="center"/>
        <w:rPr>
          <w:rFonts w:ascii="Times New Roman" w:hAnsi="Times New Roman" w:cs="Times New Roman"/>
          <w:sz w:val="24"/>
          <w:szCs w:val="24"/>
        </w:rPr>
      </w:pPr>
      <w:r>
        <w:rPr>
          <w:rFonts w:ascii="Times New Roman" w:hAnsi="Times New Roman" w:cs="Times New Roman"/>
          <w:sz w:val="24"/>
          <w:szCs w:val="24"/>
        </w:rPr>
        <w:t>Email: gunawan.jatmiko2@gmail.com</w:t>
      </w:r>
    </w:p>
    <w:p w:rsidR="00B462FC" w:rsidRPr="00B462FC" w:rsidRDefault="00B462FC" w:rsidP="00B462FC">
      <w:pPr>
        <w:tabs>
          <w:tab w:val="left" w:pos="284"/>
        </w:tabs>
        <w:jc w:val="center"/>
        <w:rPr>
          <w:rFonts w:ascii="Times New Roman" w:hAnsi="Times New Roman" w:cs="Times New Roman"/>
          <w:sz w:val="24"/>
          <w:szCs w:val="24"/>
        </w:rPr>
      </w:pPr>
      <w:r>
        <w:rPr>
          <w:rFonts w:ascii="Times New Roman" w:hAnsi="Times New Roman" w:cs="Times New Roman"/>
          <w:sz w:val="24"/>
          <w:szCs w:val="24"/>
          <w:vertAlign w:val="superscript"/>
        </w:rPr>
        <w:t>3</w:t>
      </w:r>
      <w:r w:rsidR="00522CE2" w:rsidRPr="00522CE2">
        <w:rPr>
          <w:rFonts w:ascii="Times New Roman" w:hAnsi="Times New Roman" w:cs="Times New Roman"/>
          <w:sz w:val="24"/>
          <w:szCs w:val="24"/>
        </w:rPr>
        <w:t>Law Faculty of Lampung University</w:t>
      </w:r>
    </w:p>
    <w:p w:rsidR="004E3B99" w:rsidRPr="00B462FC" w:rsidRDefault="004E3B99" w:rsidP="00B462FC">
      <w:pPr>
        <w:pStyle w:val="Body"/>
        <w:spacing w:after="0" w:line="360" w:lineRule="auto"/>
        <w:jc w:val="center"/>
        <w:rPr>
          <w:rFonts w:ascii="Times New Roman" w:hAnsi="Times New Roman" w:cs="Times New Roman"/>
          <w:sz w:val="24"/>
          <w:szCs w:val="24"/>
        </w:rPr>
      </w:pPr>
      <w:r w:rsidRPr="002D7E9A">
        <w:rPr>
          <w:rFonts w:ascii="Times New Roman" w:hAnsi="Times New Roman" w:cs="Times New Roman"/>
          <w:sz w:val="24"/>
          <w:szCs w:val="24"/>
        </w:rPr>
        <w:t xml:space="preserve">Email: </w:t>
      </w:r>
      <w:r w:rsidR="00AA7524" w:rsidRPr="00AA7524">
        <w:rPr>
          <w:rFonts w:ascii="Times New Roman" w:hAnsi="Times New Roman" w:cs="Times New Roman"/>
          <w:sz w:val="24"/>
          <w:szCs w:val="24"/>
        </w:rPr>
        <w:t>sri.riski@fh.unila.ac.id</w:t>
      </w:r>
    </w:p>
    <w:p w:rsidR="004E3B99" w:rsidRPr="002D7E9A" w:rsidRDefault="004E3B99" w:rsidP="002D7E9A">
      <w:pPr>
        <w:pStyle w:val="Body"/>
        <w:spacing w:after="0" w:line="360" w:lineRule="auto"/>
        <w:jc w:val="center"/>
        <w:rPr>
          <w:rFonts w:ascii="Times New Roman" w:hAnsi="Times New Roman" w:cs="Times New Roman"/>
          <w:sz w:val="24"/>
          <w:szCs w:val="24"/>
          <w:lang w:val="en-ID"/>
        </w:rPr>
      </w:pPr>
    </w:p>
    <w:p w:rsidR="004E3B99" w:rsidRPr="002D7E9A" w:rsidRDefault="004E3B99" w:rsidP="002D7E9A">
      <w:pPr>
        <w:pStyle w:val="Body"/>
        <w:spacing w:after="0" w:line="360" w:lineRule="auto"/>
        <w:jc w:val="center"/>
        <w:rPr>
          <w:rFonts w:ascii="Times New Roman" w:hAnsi="Times New Roman" w:cs="Times New Roman"/>
          <w:sz w:val="24"/>
          <w:szCs w:val="24"/>
          <w:lang w:val="en-ID"/>
        </w:rPr>
      </w:pPr>
      <w:r w:rsidRPr="002D7E9A">
        <w:rPr>
          <w:rFonts w:ascii="Times New Roman" w:hAnsi="Times New Roman" w:cs="Times New Roman"/>
          <w:sz w:val="24"/>
          <w:szCs w:val="24"/>
          <w:lang w:val="en-ID"/>
        </w:rPr>
        <w:t>ABSTRACT</w:t>
      </w:r>
    </w:p>
    <w:p w:rsidR="002A493D" w:rsidRPr="002D7E9A" w:rsidRDefault="004E3B99" w:rsidP="002D7E9A">
      <w:pPr>
        <w:pStyle w:val="Body"/>
        <w:spacing w:line="360" w:lineRule="auto"/>
        <w:jc w:val="both"/>
        <w:rPr>
          <w:rFonts w:ascii="Times New Roman" w:hAnsi="Times New Roman" w:cs="Times New Roman"/>
          <w:sz w:val="24"/>
          <w:szCs w:val="24"/>
          <w:lang w:val="en-ID"/>
        </w:rPr>
      </w:pPr>
      <w:proofErr w:type="gramStart"/>
      <w:r w:rsidRPr="002D7E9A">
        <w:rPr>
          <w:rFonts w:ascii="Times New Roman" w:hAnsi="Times New Roman" w:cs="Times New Roman"/>
          <w:sz w:val="24"/>
          <w:szCs w:val="24"/>
          <w:lang w:val="en-ID"/>
        </w:rPr>
        <w:t>Pembakaran hutan merupakan kasus yang sudah banyak terjadi di Indonesia dan pelaku dari pembakaran hutan bukan hanya individu tapi juga dari perusaahan perkebunan (korporasi) yang melakukan pembakaran hutan.</w:t>
      </w:r>
      <w:proofErr w:type="gramEnd"/>
      <w:r w:rsidRPr="002D7E9A">
        <w:rPr>
          <w:rFonts w:ascii="Times New Roman" w:hAnsi="Times New Roman" w:cs="Times New Roman"/>
          <w:sz w:val="24"/>
          <w:szCs w:val="24"/>
          <w:lang w:val="en-ID"/>
        </w:rPr>
        <w:t xml:space="preserve"> Korporasi yang melakukan pembakaran hutan harus bertanggungjawab atas </w:t>
      </w:r>
      <w:proofErr w:type="gramStart"/>
      <w:r w:rsidRPr="002D7E9A">
        <w:rPr>
          <w:rFonts w:ascii="Times New Roman" w:hAnsi="Times New Roman" w:cs="Times New Roman"/>
          <w:sz w:val="24"/>
          <w:szCs w:val="24"/>
          <w:lang w:val="en-ID"/>
        </w:rPr>
        <w:t>apa</w:t>
      </w:r>
      <w:proofErr w:type="gramEnd"/>
      <w:r w:rsidRPr="002D7E9A">
        <w:rPr>
          <w:rFonts w:ascii="Times New Roman" w:hAnsi="Times New Roman" w:cs="Times New Roman"/>
          <w:sz w:val="24"/>
          <w:szCs w:val="24"/>
          <w:lang w:val="en-ID"/>
        </w:rPr>
        <w:t xml:space="preserve"> yang sudah dilakukannya. Penegakan hukum atas tindak pidana pembakaran hutan yang dilakukan korporasi harus ditangani dengan serius karena banyak dampak negatif yang ditimbulkan dari pembakaran hutan, m</w:t>
      </w:r>
      <w:r w:rsidR="002A493D" w:rsidRPr="002D7E9A">
        <w:rPr>
          <w:rFonts w:ascii="Times New Roman" w:hAnsi="Times New Roman" w:cs="Times New Roman"/>
          <w:sz w:val="24"/>
          <w:szCs w:val="24"/>
          <w:lang w:val="en-ID"/>
        </w:rPr>
        <w:t xml:space="preserve">isalnya </w:t>
      </w:r>
      <w:proofErr w:type="gramStart"/>
      <w:r w:rsidR="002A493D" w:rsidRPr="002D7E9A">
        <w:rPr>
          <w:rFonts w:ascii="Times New Roman" w:hAnsi="Times New Roman" w:cs="Times New Roman"/>
          <w:sz w:val="24"/>
          <w:szCs w:val="24"/>
          <w:lang w:val="en-ID"/>
        </w:rPr>
        <w:t>asap</w:t>
      </w:r>
      <w:proofErr w:type="gramEnd"/>
      <w:r w:rsidR="002A493D" w:rsidRPr="002D7E9A">
        <w:rPr>
          <w:rFonts w:ascii="Times New Roman" w:hAnsi="Times New Roman" w:cs="Times New Roman"/>
          <w:sz w:val="24"/>
          <w:szCs w:val="24"/>
          <w:lang w:val="en-ID"/>
        </w:rPr>
        <w:t xml:space="preserve"> menggangu aktivitas manusia karena jarak pandang yang pendek dan juga dapat menganggu pernafasan. </w:t>
      </w:r>
    </w:p>
    <w:p w:rsidR="002A493D" w:rsidRDefault="002A493D" w:rsidP="002D7E9A">
      <w:pPr>
        <w:pStyle w:val="Body"/>
        <w:spacing w:line="360" w:lineRule="auto"/>
        <w:jc w:val="both"/>
        <w:rPr>
          <w:rFonts w:ascii="Times New Roman" w:hAnsi="Times New Roman" w:cs="Times New Roman"/>
          <w:sz w:val="24"/>
          <w:szCs w:val="24"/>
          <w:lang w:val="en-ID"/>
        </w:rPr>
      </w:pPr>
      <w:r w:rsidRPr="002D7E9A">
        <w:rPr>
          <w:rFonts w:ascii="Times New Roman" w:hAnsi="Times New Roman" w:cs="Times New Roman"/>
          <w:b/>
          <w:sz w:val="24"/>
          <w:szCs w:val="24"/>
          <w:lang w:val="en-ID"/>
        </w:rPr>
        <w:t>Keyword</w:t>
      </w:r>
      <w:r w:rsidR="00AA7524">
        <w:rPr>
          <w:rFonts w:ascii="Times New Roman" w:hAnsi="Times New Roman" w:cs="Times New Roman"/>
          <w:sz w:val="24"/>
          <w:szCs w:val="24"/>
          <w:lang w:val="en-ID"/>
        </w:rPr>
        <w:t>: P</w:t>
      </w:r>
      <w:r w:rsidR="002D7E9A">
        <w:rPr>
          <w:rFonts w:ascii="Times New Roman" w:hAnsi="Times New Roman" w:cs="Times New Roman"/>
          <w:sz w:val="24"/>
          <w:szCs w:val="24"/>
          <w:lang w:val="en-ID"/>
        </w:rPr>
        <w:t>ertanggungjawaban Pidana, Korporasi, Pembakaran H</w:t>
      </w:r>
      <w:r w:rsidRPr="002D7E9A">
        <w:rPr>
          <w:rFonts w:ascii="Times New Roman" w:hAnsi="Times New Roman" w:cs="Times New Roman"/>
          <w:sz w:val="24"/>
          <w:szCs w:val="24"/>
          <w:lang w:val="en-ID"/>
        </w:rPr>
        <w:t>utan.</w:t>
      </w:r>
    </w:p>
    <w:p w:rsidR="00B462FC" w:rsidRPr="002D7E9A" w:rsidRDefault="00B462FC" w:rsidP="002D7E9A">
      <w:pPr>
        <w:pStyle w:val="Body"/>
        <w:spacing w:line="360" w:lineRule="auto"/>
        <w:jc w:val="both"/>
        <w:rPr>
          <w:rFonts w:ascii="Times New Roman" w:hAnsi="Times New Roman" w:cs="Times New Roman"/>
          <w:sz w:val="24"/>
          <w:szCs w:val="24"/>
          <w:lang w:val="en-ID"/>
        </w:rPr>
      </w:pPr>
    </w:p>
    <w:p w:rsidR="002A493D" w:rsidRPr="002D7E9A" w:rsidRDefault="002A493D" w:rsidP="002D7E9A">
      <w:pPr>
        <w:pStyle w:val="Body"/>
        <w:spacing w:line="360" w:lineRule="auto"/>
        <w:jc w:val="both"/>
        <w:rPr>
          <w:rFonts w:ascii="Times New Roman" w:hAnsi="Times New Roman" w:cs="Times New Roman"/>
          <w:sz w:val="24"/>
          <w:szCs w:val="24"/>
          <w:lang w:val="en-ID"/>
        </w:rPr>
      </w:pPr>
    </w:p>
    <w:p w:rsidR="002A493D" w:rsidRPr="002D7E9A" w:rsidRDefault="002A493D" w:rsidP="002D7E9A">
      <w:pPr>
        <w:pStyle w:val="ListParagraph"/>
        <w:numPr>
          <w:ilvl w:val="0"/>
          <w:numId w:val="7"/>
        </w:numPr>
        <w:tabs>
          <w:tab w:val="left" w:pos="2127"/>
        </w:tabs>
        <w:ind w:left="426" w:hanging="284"/>
        <w:rPr>
          <w:rFonts w:ascii="Times New Roman" w:hAnsi="Times New Roman" w:cs="Times New Roman"/>
          <w:b/>
          <w:sz w:val="24"/>
          <w:szCs w:val="24"/>
        </w:rPr>
      </w:pPr>
      <w:r w:rsidRPr="002D7E9A">
        <w:rPr>
          <w:rFonts w:ascii="Times New Roman" w:hAnsi="Times New Roman" w:cs="Times New Roman"/>
          <w:b/>
          <w:sz w:val="24"/>
          <w:szCs w:val="24"/>
        </w:rPr>
        <w:lastRenderedPageBreak/>
        <w:t>INTRODUCTION</w:t>
      </w:r>
    </w:p>
    <w:p w:rsidR="002A493D" w:rsidRPr="002D7E9A" w:rsidRDefault="002A493D" w:rsidP="002D7E9A">
      <w:pPr>
        <w:tabs>
          <w:tab w:val="left" w:pos="284"/>
        </w:tabs>
        <w:spacing w:before="240"/>
        <w:ind w:left="426"/>
        <w:rPr>
          <w:rFonts w:ascii="Times New Roman" w:hAnsi="Times New Roman" w:cs="Times New Roman"/>
          <w:sz w:val="24"/>
          <w:szCs w:val="24"/>
        </w:rPr>
      </w:pPr>
      <w:proofErr w:type="gramStart"/>
      <w:r w:rsidRPr="002D7E9A">
        <w:rPr>
          <w:rFonts w:ascii="Times New Roman" w:hAnsi="Times New Roman" w:cs="Times New Roman"/>
          <w:sz w:val="24"/>
          <w:szCs w:val="24"/>
        </w:rPr>
        <w:t>Pertanggungjawaban pidana berkaitan dengan dasar untuk dapat memberikan sanksi kepada pelaku pelanggaran hukum.Didalam hal pertanggungjawaban pidana, maka pertanggungjawaban hukum yang harus dibebankan kepada pelaku pelanggaran hukum pidana berkaitan dengan dasar untuk menjatuhkan hukum pidana.</w:t>
      </w:r>
      <w:proofErr w:type="gramEnd"/>
      <w:r w:rsidRPr="002D7E9A">
        <w:rPr>
          <w:rFonts w:ascii="Times New Roman" w:hAnsi="Times New Roman" w:cs="Times New Roman"/>
          <w:sz w:val="24"/>
          <w:szCs w:val="24"/>
        </w:rPr>
        <w:t xml:space="preserve"> Dilihat dari sudut terjadinya suatu tindakan yang terlarang (diharuskan), seseorang </w:t>
      </w:r>
      <w:proofErr w:type="gramStart"/>
      <w:r w:rsidRPr="002D7E9A">
        <w:rPr>
          <w:rFonts w:ascii="Times New Roman" w:hAnsi="Times New Roman" w:cs="Times New Roman"/>
          <w:sz w:val="24"/>
          <w:szCs w:val="24"/>
        </w:rPr>
        <w:t>akan</w:t>
      </w:r>
      <w:proofErr w:type="gramEnd"/>
      <w:r w:rsidRPr="002D7E9A">
        <w:rPr>
          <w:rFonts w:ascii="Times New Roman" w:hAnsi="Times New Roman" w:cs="Times New Roman"/>
          <w:sz w:val="24"/>
          <w:szCs w:val="24"/>
        </w:rPr>
        <w:t xml:space="preserve"> dipertanggungjawab-pidanakan atas tindakan-tindakan tersebut apabila tindakan-tindakan tersebut bersifat melawan hukum dan tidak ada peniadaan sifat melawan hukum atau rechvaardingingground atau alasan pembenaran untuk itu.</w:t>
      </w:r>
      <w:r w:rsidRPr="002D7E9A">
        <w:rPr>
          <w:rStyle w:val="FootnoteReference"/>
          <w:rFonts w:ascii="Times New Roman" w:hAnsi="Times New Roman" w:cs="Times New Roman"/>
          <w:sz w:val="24"/>
          <w:szCs w:val="24"/>
        </w:rPr>
        <w:footnoteReference w:id="1"/>
      </w:r>
      <w:r w:rsidRPr="002D7E9A">
        <w:rPr>
          <w:rFonts w:ascii="Times New Roman" w:hAnsi="Times New Roman" w:cs="Times New Roman"/>
          <w:sz w:val="24"/>
          <w:szCs w:val="24"/>
        </w:rPr>
        <w:t>Pertanggungjawaban pidana hanya dapat terjadi setelah sebelumnya seseorang melakukan tindak pidana.Pertanggungjawaban pidana dilakukan atas dasar hukum tidak tertulis “tiada pidana tanpa kesalahan”.Akan tetapi dalam rancangan KUHP asas ini mendapat penegasan.Pasal 35 rancangan KUHP menentukan, “tidak seorang pun dapat dipidana tanpa kesalahan”.Tiada pidana disini berarti tiada pertanggungjawaban. Mengingat pertanggungjawaban pidana hanya dapat terjadi karena sebelumnya seorang melakukan tindak pidana, maka asas ini selain harus dipahami bahwa “tiada pemidanaan tanpa kesalahan” tetapi juga tersirat “tiada pertanggungjawaban pidana tanpa tindak pidana”.</w:t>
      </w:r>
    </w:p>
    <w:p w:rsidR="00E6362D" w:rsidRPr="002D7E9A" w:rsidRDefault="002A493D" w:rsidP="002D7E9A">
      <w:pPr>
        <w:tabs>
          <w:tab w:val="left" w:pos="284"/>
        </w:tabs>
        <w:spacing w:before="240"/>
        <w:ind w:left="426"/>
        <w:rPr>
          <w:rFonts w:ascii="Times New Roman" w:hAnsi="Times New Roman" w:cs="Times New Roman"/>
          <w:sz w:val="24"/>
          <w:szCs w:val="24"/>
        </w:rPr>
      </w:pPr>
      <w:proofErr w:type="gramStart"/>
      <w:r w:rsidRPr="002D7E9A">
        <w:rPr>
          <w:rFonts w:ascii="Times New Roman" w:hAnsi="Times New Roman" w:cs="Times New Roman"/>
          <w:sz w:val="24"/>
          <w:szCs w:val="24"/>
        </w:rPr>
        <w:t xml:space="preserve">Pelaku tindak pidana pada awalnya hanya dikenal manusia </w:t>
      </w:r>
      <w:r w:rsidRPr="002D7E9A">
        <w:rPr>
          <w:rFonts w:ascii="Times New Roman" w:hAnsi="Times New Roman" w:cs="Times New Roman"/>
          <w:i/>
          <w:iCs/>
          <w:sz w:val="24"/>
          <w:szCs w:val="24"/>
        </w:rPr>
        <w:t>(naturlijk persoon)</w:t>
      </w:r>
      <w:r w:rsidRPr="002D7E9A">
        <w:rPr>
          <w:rFonts w:ascii="Times New Roman" w:hAnsi="Times New Roman" w:cs="Times New Roman"/>
          <w:sz w:val="24"/>
          <w:szCs w:val="24"/>
        </w:rPr>
        <w:t>.</w:t>
      </w:r>
      <w:proofErr w:type="gramEnd"/>
      <w:r w:rsidRPr="002D7E9A">
        <w:rPr>
          <w:rFonts w:ascii="Times New Roman" w:hAnsi="Times New Roman" w:cs="Times New Roman"/>
          <w:sz w:val="24"/>
          <w:szCs w:val="24"/>
        </w:rPr>
        <w:t xml:space="preserve"> Pasal 59 KUHP yang berbunyi: “dalam hal-hal dimana karena pelanggaran ditentukan pidana terhadap anggota-anggota badan pengurus atau komisaris yang ternyata tidak ikut campur melakukan pelanggaran tindak pidana, sehingga korporasi belum dikenal dan belum diakui sebagai subyek dalam tindak pidana dan yang diakui sebagai subyek tindak pidana secara umum adalah orang”.</w:t>
      </w:r>
      <w:r w:rsidRPr="002D7E9A">
        <w:rPr>
          <w:rStyle w:val="FootnoteReference"/>
          <w:rFonts w:ascii="Times New Roman" w:hAnsi="Times New Roman" w:cs="Times New Roman"/>
          <w:sz w:val="24"/>
          <w:szCs w:val="24"/>
        </w:rPr>
        <w:footnoteReference w:id="2"/>
      </w:r>
      <w:proofErr w:type="gramStart"/>
      <w:r w:rsidRPr="002D7E9A">
        <w:rPr>
          <w:rFonts w:ascii="Times New Roman" w:hAnsi="Times New Roman" w:cs="Times New Roman"/>
          <w:sz w:val="24"/>
          <w:szCs w:val="24"/>
        </w:rPr>
        <w:t xml:space="preserve">Seiring dengan perkembangan zaman, banyak tindak pidana yang dilakukan oleh korporasi menyebabkan peraturan yang mengakui </w:t>
      </w:r>
      <w:r w:rsidRPr="002D7E9A">
        <w:rPr>
          <w:rFonts w:ascii="Times New Roman" w:hAnsi="Times New Roman" w:cs="Times New Roman"/>
          <w:sz w:val="24"/>
          <w:szCs w:val="24"/>
        </w:rPr>
        <w:lastRenderedPageBreak/>
        <w:t>korporasi sebagai subyek hukum pidana.</w:t>
      </w:r>
      <w:proofErr w:type="gramEnd"/>
      <w:r w:rsidRPr="002D7E9A">
        <w:rPr>
          <w:rFonts w:ascii="Times New Roman" w:hAnsi="Times New Roman" w:cs="Times New Roman"/>
          <w:sz w:val="24"/>
          <w:szCs w:val="24"/>
        </w:rPr>
        <w:t xml:space="preserve"> Di Indonesia perundang-undangan yang mengakui korporasi atau badan hukum sebagai subyek tindak pidana dimulai dengan dikeluarkannya Undang-undang Nomor 7 (Drt) Tahun 1955 tentang Tindak Pidana Ekonomi (UU TPE), telah dijadikan subyek hukum pidana dan yang dapat dituntut dan dipidana yaitu: badan hukum, perseroan perserikatan yang lain atau yayasan (Pasal 15 UUTPE).</w:t>
      </w:r>
    </w:p>
    <w:p w:rsidR="00E6362D" w:rsidRPr="002D7E9A" w:rsidRDefault="00E6362D" w:rsidP="002D7E9A">
      <w:pPr>
        <w:tabs>
          <w:tab w:val="left" w:pos="284"/>
        </w:tabs>
        <w:spacing w:before="240"/>
        <w:ind w:left="426"/>
        <w:rPr>
          <w:rFonts w:ascii="Times New Roman" w:hAnsi="Times New Roman" w:cs="Times New Roman"/>
          <w:sz w:val="24"/>
          <w:szCs w:val="24"/>
        </w:rPr>
      </w:pPr>
      <w:r w:rsidRPr="002D7E9A">
        <w:rPr>
          <w:rFonts w:ascii="Times New Roman" w:hAnsi="Times New Roman" w:cs="Times New Roman"/>
          <w:sz w:val="24"/>
          <w:szCs w:val="24"/>
        </w:rPr>
        <w:t xml:space="preserve">Badan Hukum dalam masa sekarang dikenal dengan Korporasi, dimana perbuatan korporasi dapat dikategorikan sebagai tindak pidana, apabila perbuatannya merugikan kepentingan public atau kepentingan negara.Apabila perbuatan yang dilakukan korporasi, dikaitkan dengan peraturan perundang-undangan di bidang hukum pidana yang merumuskan korporasi sebagai subyek tindak pidana, maka korporasi tersebut jelas dapat dipidana.Badan hukum </w:t>
      </w:r>
      <w:r w:rsidRPr="002D7E9A">
        <w:rPr>
          <w:rFonts w:ascii="Times New Roman" w:hAnsi="Times New Roman" w:cs="Times New Roman"/>
          <w:i/>
          <w:iCs/>
          <w:sz w:val="24"/>
          <w:szCs w:val="24"/>
        </w:rPr>
        <w:t>(recht persoon)</w:t>
      </w:r>
      <w:r w:rsidRPr="002D7E9A">
        <w:rPr>
          <w:rFonts w:ascii="Times New Roman" w:hAnsi="Times New Roman" w:cs="Times New Roman"/>
          <w:sz w:val="24"/>
          <w:szCs w:val="24"/>
        </w:rPr>
        <w:t xml:space="preserve"> merupakan subyek hukum yang memiliki hak-hak dan kewajiban sendiri sekalipun bukan manusia </w:t>
      </w:r>
      <w:r w:rsidRPr="002D7E9A">
        <w:rPr>
          <w:rFonts w:ascii="Times New Roman" w:hAnsi="Times New Roman" w:cs="Times New Roman"/>
          <w:i/>
          <w:iCs/>
          <w:sz w:val="24"/>
          <w:szCs w:val="24"/>
        </w:rPr>
        <w:t>(persoon)</w:t>
      </w:r>
      <w:r w:rsidRPr="002D7E9A">
        <w:rPr>
          <w:rFonts w:ascii="Times New Roman" w:hAnsi="Times New Roman" w:cs="Times New Roman"/>
          <w:sz w:val="24"/>
          <w:szCs w:val="24"/>
        </w:rPr>
        <w:t xml:space="preserve">, dalam hal ini berbentuk sebagai badan atau organisasi yang terdiri dari sekumpulan orang yang tergabung untuk satu tujuan tertentu serta memiliki kekayaan tertentu pula. Untuk bertindak dalam lalu lintas hukum maka badan hukum </w:t>
      </w:r>
      <w:r w:rsidRPr="002D7E9A">
        <w:rPr>
          <w:rFonts w:ascii="Times New Roman" w:hAnsi="Times New Roman" w:cs="Times New Roman"/>
          <w:i/>
          <w:iCs/>
          <w:sz w:val="24"/>
          <w:szCs w:val="24"/>
        </w:rPr>
        <w:t>(recht persoon)</w:t>
      </w:r>
      <w:r w:rsidRPr="002D7E9A">
        <w:rPr>
          <w:rFonts w:ascii="Times New Roman" w:hAnsi="Times New Roman" w:cs="Times New Roman"/>
          <w:sz w:val="24"/>
          <w:szCs w:val="24"/>
        </w:rPr>
        <w:t xml:space="preserve"> tersebut diwakili oleh orang-orang tertentu yang bertindak untuk dan atas </w:t>
      </w:r>
      <w:proofErr w:type="gramStart"/>
      <w:r w:rsidRPr="002D7E9A">
        <w:rPr>
          <w:rFonts w:ascii="Times New Roman" w:hAnsi="Times New Roman" w:cs="Times New Roman"/>
          <w:sz w:val="24"/>
          <w:szCs w:val="24"/>
        </w:rPr>
        <w:t>nama</w:t>
      </w:r>
      <w:proofErr w:type="gramEnd"/>
      <w:r w:rsidRPr="002D7E9A">
        <w:rPr>
          <w:rFonts w:ascii="Times New Roman" w:hAnsi="Times New Roman" w:cs="Times New Roman"/>
          <w:sz w:val="24"/>
          <w:szCs w:val="24"/>
        </w:rPr>
        <w:t xml:space="preserve"> serta demi kepentingan badan hukum tersebut.</w:t>
      </w:r>
      <w:r w:rsidRPr="002D7E9A">
        <w:rPr>
          <w:rStyle w:val="FootnoteReference"/>
          <w:rFonts w:ascii="Times New Roman" w:hAnsi="Times New Roman" w:cs="Times New Roman"/>
          <w:sz w:val="24"/>
          <w:szCs w:val="24"/>
        </w:rPr>
        <w:footnoteReference w:id="3"/>
      </w:r>
    </w:p>
    <w:p w:rsidR="00E6362D" w:rsidRPr="002D7E9A" w:rsidRDefault="00E6362D" w:rsidP="002D7E9A">
      <w:pPr>
        <w:tabs>
          <w:tab w:val="left" w:pos="284"/>
        </w:tabs>
        <w:spacing w:before="240"/>
        <w:ind w:left="426"/>
        <w:rPr>
          <w:rFonts w:ascii="Times New Roman" w:hAnsi="Times New Roman" w:cs="Times New Roman"/>
          <w:sz w:val="24"/>
          <w:szCs w:val="24"/>
        </w:rPr>
      </w:pPr>
      <w:r w:rsidRPr="002D7E9A">
        <w:rPr>
          <w:rFonts w:ascii="Times New Roman" w:hAnsi="Times New Roman" w:cs="Times New Roman"/>
          <w:sz w:val="24"/>
          <w:szCs w:val="24"/>
        </w:rPr>
        <w:t xml:space="preserve">Korporasi merupakan sebutan yang sering digunakan oleh pakar hukum pidana untuk menyebutkan </w:t>
      </w:r>
      <w:proofErr w:type="gramStart"/>
      <w:r w:rsidRPr="002D7E9A">
        <w:rPr>
          <w:rFonts w:ascii="Times New Roman" w:hAnsi="Times New Roman" w:cs="Times New Roman"/>
          <w:sz w:val="24"/>
          <w:szCs w:val="24"/>
        </w:rPr>
        <w:t>apa</w:t>
      </w:r>
      <w:proofErr w:type="gramEnd"/>
      <w:r w:rsidRPr="002D7E9A">
        <w:rPr>
          <w:rFonts w:ascii="Times New Roman" w:hAnsi="Times New Roman" w:cs="Times New Roman"/>
          <w:sz w:val="24"/>
          <w:szCs w:val="24"/>
        </w:rPr>
        <w:t xml:space="preserve"> yang lazim dalam hukum perdata disebut sebagai badan hukum </w:t>
      </w:r>
      <w:r w:rsidRPr="002D7E9A">
        <w:rPr>
          <w:rFonts w:ascii="Times New Roman" w:hAnsi="Times New Roman" w:cs="Times New Roman"/>
          <w:i/>
          <w:iCs/>
          <w:sz w:val="24"/>
          <w:szCs w:val="24"/>
        </w:rPr>
        <w:t>(recht persoon)</w:t>
      </w:r>
      <w:r w:rsidRPr="002D7E9A">
        <w:rPr>
          <w:rFonts w:ascii="Times New Roman" w:hAnsi="Times New Roman" w:cs="Times New Roman"/>
          <w:sz w:val="24"/>
          <w:szCs w:val="24"/>
        </w:rPr>
        <w:t xml:space="preserve">. Korporasi merupakan subyek hukum karena merupakan kesatuan atau kumpulan dari orang-orang yang memiliki hak dan dapat melakukan perbuatan hukum seperti manusia pribadi.Korporasi sebagai subyek tindak pidana masih merupakan hal baru.Korporasi sebagai subyek tindak pidana, terutama berkembang dengan adanya kejahatan yang menyangkut korporasi sebagai subyek tindak pidana yang disebabkan adanya pengaruh perkembangan dunia usaha nasional yang demikian pesat. Di Indonesia dalam perundang-undangan baru muncul dan dikenal badan hukum </w:t>
      </w:r>
      <w:r w:rsidRPr="002D7E9A">
        <w:rPr>
          <w:rFonts w:ascii="Times New Roman" w:hAnsi="Times New Roman" w:cs="Times New Roman"/>
          <w:sz w:val="24"/>
          <w:szCs w:val="24"/>
        </w:rPr>
        <w:lastRenderedPageBreak/>
        <w:t>atau korporasi sebagai subyek tindak pidana pada tahun 1951 yaitu dalam undang-undang penimbunan barang-barang dan mulai dikenal secara luas dalam Undang-Undang Nomor 7 Drt 1955 tentang Tindak Pidana Ekonomi.</w:t>
      </w:r>
    </w:p>
    <w:p w:rsidR="00E6362D" w:rsidRPr="002D7E9A" w:rsidRDefault="00E6362D" w:rsidP="002D7E9A">
      <w:pPr>
        <w:ind w:left="426"/>
        <w:rPr>
          <w:rFonts w:ascii="Times New Roman" w:hAnsi="Times New Roman" w:cs="Times New Roman"/>
          <w:sz w:val="24"/>
          <w:szCs w:val="24"/>
        </w:rPr>
      </w:pPr>
      <w:proofErr w:type="gramStart"/>
      <w:r w:rsidRPr="002D7E9A">
        <w:rPr>
          <w:rFonts w:ascii="Times New Roman" w:hAnsi="Times New Roman" w:cs="Times New Roman"/>
          <w:sz w:val="24"/>
          <w:szCs w:val="24"/>
        </w:rPr>
        <w:t>Dengan semakin menguatnya peranan korporasi di berbagai sektor digambarkan ibarat gurita yang merambah ke segala arah tanpa kendali.</w:t>
      </w:r>
      <w:proofErr w:type="gramEnd"/>
      <w:r w:rsidRPr="002D7E9A">
        <w:rPr>
          <w:rFonts w:ascii="Times New Roman" w:hAnsi="Times New Roman" w:cs="Times New Roman"/>
          <w:sz w:val="24"/>
          <w:szCs w:val="24"/>
        </w:rPr>
        <w:t xml:space="preserve"> Mereka dapat berbuat sesukanya tanpa mengindahkan etika, bahkan memanfaatkan berbagai instrument hukum untuk kepentingannya, sementara itu masyarakat/ konsumen masih kurang mengerti </w:t>
      </w:r>
      <w:proofErr w:type="gramStart"/>
      <w:r w:rsidRPr="002D7E9A">
        <w:rPr>
          <w:rFonts w:ascii="Times New Roman" w:hAnsi="Times New Roman" w:cs="Times New Roman"/>
          <w:sz w:val="24"/>
          <w:szCs w:val="24"/>
        </w:rPr>
        <w:t>akan</w:t>
      </w:r>
      <w:proofErr w:type="gramEnd"/>
      <w:r w:rsidRPr="002D7E9A">
        <w:rPr>
          <w:rFonts w:ascii="Times New Roman" w:hAnsi="Times New Roman" w:cs="Times New Roman"/>
          <w:sz w:val="24"/>
          <w:szCs w:val="24"/>
        </w:rPr>
        <w:t xml:space="preserve"> hak-haknya yang sebenarnya telah diatur dalam undang-undang.</w:t>
      </w:r>
    </w:p>
    <w:p w:rsidR="00E6362D" w:rsidRPr="002D7E9A" w:rsidRDefault="00E6362D" w:rsidP="002D7E9A">
      <w:pPr>
        <w:ind w:left="426"/>
        <w:rPr>
          <w:rFonts w:ascii="Times New Roman" w:hAnsi="Times New Roman" w:cs="Times New Roman"/>
          <w:bCs/>
          <w:sz w:val="24"/>
          <w:szCs w:val="24"/>
        </w:rPr>
      </w:pPr>
      <w:proofErr w:type="gramStart"/>
      <w:r w:rsidRPr="002D7E9A">
        <w:rPr>
          <w:rFonts w:ascii="Times New Roman" w:hAnsi="Times New Roman" w:cs="Times New Roman"/>
          <w:bCs/>
          <w:sz w:val="24"/>
          <w:szCs w:val="24"/>
        </w:rPr>
        <w:t>Hutan  merupakan</w:t>
      </w:r>
      <w:proofErr w:type="gramEnd"/>
      <w:r w:rsidRPr="002D7E9A">
        <w:rPr>
          <w:rFonts w:ascii="Times New Roman" w:hAnsi="Times New Roman" w:cs="Times New Roman"/>
          <w:bCs/>
          <w:sz w:val="24"/>
          <w:szCs w:val="24"/>
        </w:rPr>
        <w:t xml:space="preserve">  sumber  daya  alam yang    menempati    posisi    yang    sangat strategis   dalam   kehidupan   bangsa   dan bernegara.</w:t>
      </w:r>
      <w:r w:rsidRPr="002D7E9A">
        <w:rPr>
          <w:rStyle w:val="FootnoteReference"/>
          <w:rFonts w:ascii="Times New Roman" w:hAnsi="Times New Roman" w:cs="Times New Roman"/>
          <w:bCs/>
          <w:sz w:val="24"/>
          <w:szCs w:val="24"/>
        </w:rPr>
        <w:footnoteReference w:id="4"/>
      </w:r>
      <w:r w:rsidRPr="002D7E9A">
        <w:rPr>
          <w:rFonts w:ascii="Times New Roman" w:hAnsi="Times New Roman" w:cs="Times New Roman"/>
          <w:bCs/>
          <w:sz w:val="24"/>
          <w:szCs w:val="24"/>
        </w:rPr>
        <w:t xml:space="preserve"> Nilai   penting   yang   dimiliki  hutan    semakin    bertambah    dikarenakan hutan merupakan hajat hidup orang banyak dan  dijadikan  sebagai  modal  dasar  dalam melaksanakan  pembangunan  nasional,  baik ditinjau  dari  aspek  ekonomi,  sosial  budaya maupun ekologi guna meningkatkan kemakmuran  rakyat.  </w:t>
      </w:r>
      <w:proofErr w:type="gramStart"/>
      <w:r w:rsidRPr="002D7E9A">
        <w:rPr>
          <w:rFonts w:ascii="Times New Roman" w:hAnsi="Times New Roman" w:cs="Times New Roman"/>
          <w:bCs/>
          <w:sz w:val="24"/>
          <w:szCs w:val="24"/>
        </w:rPr>
        <w:t>Hal  ini</w:t>
      </w:r>
      <w:proofErr w:type="gramEnd"/>
      <w:r w:rsidRPr="002D7E9A">
        <w:rPr>
          <w:rFonts w:ascii="Times New Roman" w:hAnsi="Times New Roman" w:cs="Times New Roman"/>
          <w:bCs/>
          <w:sz w:val="24"/>
          <w:szCs w:val="24"/>
        </w:rPr>
        <w:t xml:space="preserve">  sesuai  dengan Pasal 33 Ayat (3) Undang-Undang Dasar 1945, “Bumi, air, dan kekayaan  alam  yang terkandung di dalamnya dikuasai negara dan dipergunakan sebesar-besarnya untuk kemakmuran rakyat”.</w:t>
      </w:r>
    </w:p>
    <w:p w:rsidR="00E6362D" w:rsidRPr="002D7E9A" w:rsidRDefault="00E6362D" w:rsidP="002D7E9A">
      <w:pPr>
        <w:ind w:left="426"/>
        <w:rPr>
          <w:rFonts w:ascii="Times New Roman" w:hAnsi="Times New Roman" w:cs="Times New Roman"/>
          <w:bCs/>
          <w:sz w:val="24"/>
          <w:szCs w:val="24"/>
        </w:rPr>
      </w:pPr>
      <w:proofErr w:type="gramStart"/>
      <w:r w:rsidRPr="002D7E9A">
        <w:rPr>
          <w:rFonts w:ascii="Times New Roman" w:hAnsi="Times New Roman" w:cs="Times New Roman"/>
          <w:bCs/>
          <w:sz w:val="24"/>
          <w:szCs w:val="24"/>
        </w:rPr>
        <w:t>Kebakaran hutan selama musim kering dapat disebabkan atau dipicu oleh kejadian alamiah dan kegiatan perusahaan-perusahaan yang bergerak dalam perkebunan atau kecerobohan manusia.</w:t>
      </w:r>
      <w:proofErr w:type="gramEnd"/>
      <w:r w:rsidRPr="002D7E9A">
        <w:rPr>
          <w:rFonts w:ascii="Times New Roman" w:hAnsi="Times New Roman" w:cs="Times New Roman"/>
          <w:bCs/>
          <w:sz w:val="24"/>
          <w:szCs w:val="24"/>
        </w:rPr>
        <w:t xml:space="preserve"> Pembakaran hutan dan lahan merupakan perbuatan yang dilarang karena selain melanggar Pasal 50 Undang-Undang Nomor 41 Tahun 1999 </w:t>
      </w:r>
      <w:r w:rsidRPr="002D7E9A">
        <w:rPr>
          <w:rFonts w:ascii="Times New Roman" w:hAnsi="Times New Roman" w:cs="Times New Roman"/>
          <w:bCs/>
          <w:i/>
          <w:sz w:val="24"/>
          <w:szCs w:val="24"/>
        </w:rPr>
        <w:t>jo</w:t>
      </w:r>
      <w:r w:rsidRPr="002D7E9A">
        <w:rPr>
          <w:rFonts w:ascii="Times New Roman" w:hAnsi="Times New Roman" w:cs="Times New Roman"/>
          <w:bCs/>
          <w:sz w:val="24"/>
          <w:szCs w:val="24"/>
        </w:rPr>
        <w:t xml:space="preserve"> Undang-Undang Nomor 19 Tahun 2004 tentang Kehutanan, juga melanggar Pasal 11 Peraturan Pemerintah Nomor 4 Tahun 2001 tentang Pengendalian Kerusakan dan atau Pencemaran Lingkungan Hidup Yang Berkaitan Dengan Kebakaran Hutan dan atau Lahan, serta Pasal 187 dan Pasal 188 KUHP.</w:t>
      </w:r>
    </w:p>
    <w:p w:rsidR="00E6362D" w:rsidRPr="002D7E9A" w:rsidRDefault="00BF1D37" w:rsidP="002D7E9A">
      <w:pPr>
        <w:ind w:left="426"/>
        <w:rPr>
          <w:rFonts w:ascii="Times New Roman" w:hAnsi="Times New Roman" w:cs="Times New Roman"/>
          <w:sz w:val="24"/>
          <w:szCs w:val="24"/>
        </w:rPr>
      </w:pPr>
      <w:proofErr w:type="gramStart"/>
      <w:r w:rsidRPr="002D7E9A">
        <w:rPr>
          <w:rFonts w:ascii="Times New Roman" w:hAnsi="Times New Roman" w:cs="Times New Roman"/>
          <w:sz w:val="24"/>
          <w:szCs w:val="24"/>
        </w:rPr>
        <w:lastRenderedPageBreak/>
        <w:t>Berdasarkan uraian yang telah dipaparkan sebelumnya, maka yang menjadi permasalahan dalam penulisan penelitian ini adalah “Bagaimanakah Pertanggungjawaban Pidana Korporasi Perusahaan Perkebunan yang melakukan Pembakaran Hutan?”</w:t>
      </w:r>
      <w:proofErr w:type="gramEnd"/>
    </w:p>
    <w:p w:rsidR="00BF1D37" w:rsidRPr="002D7E9A" w:rsidRDefault="008E6CBB" w:rsidP="002D7E9A">
      <w:pPr>
        <w:pStyle w:val="ListParagraph"/>
        <w:numPr>
          <w:ilvl w:val="0"/>
          <w:numId w:val="7"/>
        </w:numPr>
        <w:ind w:left="426" w:hanging="284"/>
        <w:rPr>
          <w:rFonts w:ascii="Times New Roman" w:hAnsi="Times New Roman" w:cs="Times New Roman"/>
          <w:sz w:val="24"/>
          <w:szCs w:val="24"/>
        </w:rPr>
      </w:pPr>
      <w:r w:rsidRPr="002D7E9A">
        <w:rPr>
          <w:rFonts w:ascii="Times New Roman" w:hAnsi="Times New Roman" w:cs="Times New Roman"/>
          <w:b/>
          <w:sz w:val="24"/>
          <w:szCs w:val="24"/>
          <w:lang w:val="id-ID"/>
        </w:rPr>
        <w:t>RESEARCH METHODS</w:t>
      </w:r>
    </w:p>
    <w:p w:rsidR="008E6CBB" w:rsidRPr="002D7E9A" w:rsidRDefault="00E411AD" w:rsidP="002D7E9A">
      <w:pPr>
        <w:ind w:left="426"/>
        <w:rPr>
          <w:rFonts w:ascii="Times New Roman" w:hAnsi="Times New Roman" w:cs="Times New Roman"/>
          <w:sz w:val="24"/>
          <w:szCs w:val="24"/>
        </w:rPr>
      </w:pPr>
      <w:r w:rsidRPr="002D7E9A">
        <w:rPr>
          <w:rFonts w:ascii="Times New Roman" w:eastAsia="Calibri" w:hAnsi="Times New Roman" w:cs="Times New Roman"/>
          <w:sz w:val="24"/>
          <w:szCs w:val="24"/>
        </w:rPr>
        <w:t xml:space="preserve">Dalampenelitianini peneliti menggunakan metode pendekatan </w:t>
      </w:r>
      <w:proofErr w:type="gramStart"/>
      <w:r w:rsidRPr="002D7E9A">
        <w:rPr>
          <w:rFonts w:ascii="Times New Roman" w:eastAsia="Calibri" w:hAnsi="Times New Roman" w:cs="Times New Roman"/>
          <w:sz w:val="24"/>
          <w:szCs w:val="24"/>
        </w:rPr>
        <w:t>yuridis  normatif</w:t>
      </w:r>
      <w:proofErr w:type="gramEnd"/>
      <w:r w:rsidRPr="002D7E9A">
        <w:rPr>
          <w:rFonts w:ascii="Times New Roman" w:eastAsia="Calibri" w:hAnsi="Times New Roman" w:cs="Times New Roman"/>
          <w:sz w:val="24"/>
          <w:szCs w:val="24"/>
        </w:rPr>
        <w:t xml:space="preserve"> dan yuridis empiris</w:t>
      </w:r>
      <w:r w:rsidRPr="002D7E9A">
        <w:rPr>
          <w:rFonts w:ascii="Times New Roman" w:hAnsi="Times New Roman" w:cs="Times New Roman"/>
          <w:sz w:val="24"/>
          <w:szCs w:val="24"/>
        </w:rPr>
        <w:t xml:space="preserve">. Pendekatan yuridis normatif </w:t>
      </w:r>
      <w:r w:rsidRPr="002D7E9A">
        <w:rPr>
          <w:rFonts w:ascii="Times New Roman" w:eastAsia="Calibri" w:hAnsi="Times New Roman" w:cs="Times New Roman"/>
          <w:sz w:val="24"/>
          <w:szCs w:val="24"/>
        </w:rPr>
        <w:t xml:space="preserve">yaitu pendekatan yang dilakukan dengan </w:t>
      </w:r>
      <w:proofErr w:type="gramStart"/>
      <w:r w:rsidRPr="002D7E9A">
        <w:rPr>
          <w:rFonts w:ascii="Times New Roman" w:eastAsia="Calibri" w:hAnsi="Times New Roman" w:cs="Times New Roman"/>
          <w:sz w:val="24"/>
          <w:szCs w:val="24"/>
        </w:rPr>
        <w:t>cara</w:t>
      </w:r>
      <w:proofErr w:type="gramEnd"/>
      <w:r w:rsidRPr="002D7E9A">
        <w:rPr>
          <w:rFonts w:ascii="Times New Roman" w:eastAsia="Calibri" w:hAnsi="Times New Roman" w:cs="Times New Roman"/>
          <w:sz w:val="24"/>
          <w:szCs w:val="24"/>
        </w:rPr>
        <w:t xml:space="preserve"> menelaah kaidah-kaidah atau norma-norma, aturan-aturan yang berhubungan dengan masalah yang akan dibahas.</w:t>
      </w:r>
      <w:r w:rsidRPr="002D7E9A">
        <w:rPr>
          <w:rFonts w:ascii="Times New Roman" w:hAnsi="Times New Roman" w:cs="Times New Roman"/>
          <w:sz w:val="24"/>
          <w:szCs w:val="24"/>
        </w:rPr>
        <w:t>Dan pendekatan yuridis empiris yaitu mengadakan penelitian langsung ke lapangan dengan wawancara.</w:t>
      </w:r>
    </w:p>
    <w:p w:rsidR="00844B45" w:rsidRPr="002D7E9A" w:rsidRDefault="008E6CBB" w:rsidP="002D7E9A">
      <w:pPr>
        <w:pStyle w:val="ListParagraph"/>
        <w:numPr>
          <w:ilvl w:val="0"/>
          <w:numId w:val="7"/>
        </w:numPr>
        <w:spacing w:before="240"/>
        <w:ind w:left="426" w:hanging="284"/>
        <w:rPr>
          <w:rFonts w:ascii="Times New Roman" w:hAnsi="Times New Roman" w:cs="Times New Roman"/>
          <w:sz w:val="24"/>
          <w:szCs w:val="24"/>
        </w:rPr>
      </w:pPr>
      <w:r w:rsidRPr="002D7E9A">
        <w:rPr>
          <w:rFonts w:ascii="Times New Roman" w:hAnsi="Times New Roman" w:cs="Times New Roman"/>
          <w:b/>
          <w:sz w:val="24"/>
          <w:szCs w:val="24"/>
        </w:rPr>
        <w:t>DISCUSSION</w:t>
      </w:r>
    </w:p>
    <w:p w:rsidR="004368D4" w:rsidRPr="002D7E9A" w:rsidRDefault="004368D4" w:rsidP="002D7E9A">
      <w:pPr>
        <w:pStyle w:val="ListParagraph"/>
        <w:spacing w:before="240"/>
        <w:ind w:left="993"/>
        <w:rPr>
          <w:rFonts w:ascii="Times New Roman" w:hAnsi="Times New Roman" w:cs="Times New Roman"/>
          <w:sz w:val="24"/>
          <w:szCs w:val="24"/>
        </w:rPr>
      </w:pPr>
    </w:p>
    <w:p w:rsidR="004368D4" w:rsidRPr="002D7E9A" w:rsidRDefault="00EC6D4B" w:rsidP="002D7E9A">
      <w:pPr>
        <w:pStyle w:val="ListParagraph"/>
        <w:numPr>
          <w:ilvl w:val="0"/>
          <w:numId w:val="8"/>
        </w:numPr>
        <w:ind w:left="426" w:hanging="426"/>
        <w:rPr>
          <w:rFonts w:ascii="Times New Roman" w:hAnsi="Times New Roman" w:cs="Times New Roman"/>
          <w:sz w:val="24"/>
          <w:szCs w:val="24"/>
        </w:rPr>
      </w:pPr>
      <w:r w:rsidRPr="002D7E9A">
        <w:rPr>
          <w:rFonts w:ascii="Times New Roman" w:hAnsi="Times New Roman" w:cs="Times New Roman"/>
          <w:sz w:val="24"/>
          <w:szCs w:val="24"/>
        </w:rPr>
        <w:t>Bentuk Pertangungjawaban Pidana Korporasi dalam Tindak Pidana Pembakaran Hutan</w:t>
      </w:r>
    </w:p>
    <w:p w:rsidR="004368D4" w:rsidRPr="002D7E9A" w:rsidRDefault="004368D4" w:rsidP="002D7E9A">
      <w:pPr>
        <w:pStyle w:val="Default"/>
        <w:spacing w:before="240" w:line="360" w:lineRule="auto"/>
        <w:ind w:left="426"/>
        <w:jc w:val="both"/>
      </w:pPr>
      <w:r w:rsidRPr="002D7E9A">
        <w:t xml:space="preserve">Hukum pidana menganut asas tiada pidana tanpa kesalahan atau actus fancit  reum  nisi  mens sir rea, dikenal  sebagai  salah  satu  asas  paling  penting  dalam  hukum  pidana. Melalui </w:t>
      </w:r>
      <w:proofErr w:type="gramStart"/>
      <w:r w:rsidRPr="002D7E9A">
        <w:t>asas  ini</w:t>
      </w:r>
      <w:proofErr w:type="gramEnd"/>
      <w:r w:rsidR="00E53FB2" w:rsidRPr="002D7E9A">
        <w:t xml:space="preserve"> diperoleh  penjelasan  bahwa belum tentu ada </w:t>
      </w:r>
      <w:r w:rsidRPr="002D7E9A">
        <w:t>pertanggungjawaban   pidana   yang   mengikuti   adanya   suatu   tind</w:t>
      </w:r>
      <w:r w:rsidR="00E53FB2" w:rsidRPr="002D7E9A">
        <w:t xml:space="preserve">ak   pidana yang   terjadi. Asas kesalaha ini adalah menyangkut personal guilty dan blameworthiness </w:t>
      </w:r>
      <w:r w:rsidRPr="002D7E9A">
        <w:t>yang  dipersyaratkan  untuk  bisa  menentukan  parameter  bagi  pertanggungjawaban  pidana  dan  pemberian hukumannya.</w:t>
      </w:r>
      <w:r w:rsidRPr="002D7E9A">
        <w:rPr>
          <w:rStyle w:val="FootnoteReference"/>
        </w:rPr>
        <w:footnoteReference w:id="5"/>
      </w:r>
    </w:p>
    <w:p w:rsidR="004368D4" w:rsidRPr="002D7E9A" w:rsidRDefault="00E53FB2" w:rsidP="002D7E9A">
      <w:pPr>
        <w:pStyle w:val="Default"/>
        <w:spacing w:before="240" w:line="360" w:lineRule="auto"/>
        <w:ind w:left="426"/>
        <w:jc w:val="both"/>
      </w:pPr>
      <w:r w:rsidRPr="002D7E9A">
        <w:t xml:space="preserve">Dalam doktrin </w:t>
      </w:r>
      <w:r w:rsidR="00380CA5" w:rsidRPr="002D7E9A">
        <w:t xml:space="preserve">hukum  pidana, konsep tindak pidana </w:t>
      </w:r>
      <w:r w:rsidR="004368D4" w:rsidRPr="002D7E9A">
        <w:t>da</w:t>
      </w:r>
      <w:r w:rsidR="00380CA5" w:rsidRPr="002D7E9A">
        <w:t xml:space="preserve">n </w:t>
      </w:r>
      <w:r w:rsidR="004368D4" w:rsidRPr="002D7E9A">
        <w:t>pertanggungjawaban  pidana  mengarah  kepada  dua</w:t>
      </w:r>
      <w:r w:rsidR="00380CA5" w:rsidRPr="002D7E9A">
        <w:t xml:space="preserve">  ajaran  yaitu  monisme  ada </w:t>
      </w:r>
      <w:r w:rsidR="004368D4" w:rsidRPr="002D7E9A">
        <w:t>dualisme</w:t>
      </w:r>
      <w:r w:rsidR="00380CA5" w:rsidRPr="002D7E9A">
        <w:t xml:space="preserve">. Dalam ajaran monisme, konsep pertanggungjawaban pidana, kesalahan, kemampuan </w:t>
      </w:r>
      <w:r w:rsidR="004368D4" w:rsidRPr="002D7E9A">
        <w:t xml:space="preserve">bertanggungjawab,  dan  alasan  pemaaf  menjadi  satu  kesatuan  atau  tidak  </w:t>
      </w:r>
      <w:r w:rsidR="004368D4" w:rsidRPr="002D7E9A">
        <w:lastRenderedPageBreak/>
        <w:t>dapat  dipisahkan.  Maksudnya  adalah  pembuktian unsur objektif (tindak pidana) dan unsur subjektif  (kesalahan) tidak  dipisahkan  otomatis  bahwa  terdakwa  terbukti  bersalah  melakukan  tindak   pidana   jika   perbuatan   yang   dilarang   dan   diancam   pidana   didalamnya   terdapat   kesalahan   terbukti   berdasarkan   fakta-fakta   yang   terungkap dipersidangan.</w:t>
      </w:r>
    </w:p>
    <w:p w:rsidR="004368D4" w:rsidRPr="002D7E9A" w:rsidRDefault="004368D4" w:rsidP="002D7E9A">
      <w:pPr>
        <w:pStyle w:val="Default"/>
        <w:spacing w:before="240" w:line="360" w:lineRule="auto"/>
        <w:ind w:left="426"/>
        <w:jc w:val="both"/>
      </w:pPr>
      <w:r w:rsidRPr="002D7E9A">
        <w:t xml:space="preserve">Berdasarkan    pandangan    Monistris    tentang strafbaarfeit    atau    criminal    act berpendapat bahwa unsur-unsur pertanggungjawaban pidana menyangkut pembuat delik yaitu: </w:t>
      </w:r>
    </w:p>
    <w:p w:rsidR="004368D4" w:rsidRPr="002D7E9A" w:rsidRDefault="004368D4" w:rsidP="002D7E9A">
      <w:pPr>
        <w:pStyle w:val="Default"/>
        <w:numPr>
          <w:ilvl w:val="0"/>
          <w:numId w:val="9"/>
        </w:numPr>
        <w:spacing w:line="360" w:lineRule="auto"/>
        <w:ind w:left="1276"/>
        <w:jc w:val="both"/>
      </w:pPr>
      <w:r w:rsidRPr="002D7E9A">
        <w:t>Kemampuan bertanggungjawab,</w:t>
      </w:r>
    </w:p>
    <w:p w:rsidR="004368D4" w:rsidRPr="002D7E9A" w:rsidRDefault="004368D4" w:rsidP="002D7E9A">
      <w:pPr>
        <w:pStyle w:val="Default"/>
        <w:numPr>
          <w:ilvl w:val="0"/>
          <w:numId w:val="9"/>
        </w:numPr>
        <w:spacing w:line="360" w:lineRule="auto"/>
        <w:ind w:left="1276"/>
        <w:jc w:val="both"/>
      </w:pPr>
      <w:r w:rsidRPr="002D7E9A">
        <w:t>Kesalahan dalam arti luas (sengaja atau kealpaan),</w:t>
      </w:r>
    </w:p>
    <w:p w:rsidR="004368D4" w:rsidRPr="002D7E9A" w:rsidRDefault="004368D4" w:rsidP="002D7E9A">
      <w:pPr>
        <w:pStyle w:val="Default"/>
        <w:numPr>
          <w:ilvl w:val="0"/>
          <w:numId w:val="9"/>
        </w:numPr>
        <w:spacing w:line="360" w:lineRule="auto"/>
        <w:ind w:left="1276"/>
        <w:jc w:val="both"/>
      </w:pPr>
      <w:r w:rsidRPr="002D7E9A">
        <w:t>Tidak ada alasan pemaaf atau pembenar.</w:t>
      </w:r>
    </w:p>
    <w:p w:rsidR="004368D4" w:rsidRPr="002D7E9A" w:rsidRDefault="004368D4" w:rsidP="002D7E9A">
      <w:pPr>
        <w:pStyle w:val="Default"/>
        <w:spacing w:line="360" w:lineRule="auto"/>
        <w:ind w:left="1276"/>
        <w:jc w:val="both"/>
      </w:pPr>
    </w:p>
    <w:p w:rsidR="004368D4" w:rsidRPr="002D7E9A" w:rsidRDefault="004368D4" w:rsidP="002D7E9A">
      <w:pPr>
        <w:pStyle w:val="Default"/>
        <w:spacing w:after="240" w:line="360" w:lineRule="auto"/>
        <w:ind w:left="426"/>
        <w:jc w:val="both"/>
      </w:pPr>
      <w:r w:rsidRPr="002D7E9A">
        <w:t xml:space="preserve">Sementara  itu  untuk  menentukan  kesalahan  pada  korporasi    tidak  ditandai  dengan  kesengajaan  maupun  kealpaan.  </w:t>
      </w:r>
      <w:proofErr w:type="gramStart"/>
      <w:r w:rsidRPr="002D7E9A">
        <w:t>Pertama  disebabkan</w:t>
      </w:r>
      <w:proofErr w:type="gramEnd"/>
      <w:r w:rsidRPr="002D7E9A">
        <w:t xml:space="preserve">  agak  sulit untuk menentukan kesengajaan pada korporasi. kalaupun hal itu dapat dilakukan,  namun  bersandar  pada  teori  yang  tidak  selalu  berjalan  dengan  teori  normatif.  </w:t>
      </w:r>
      <w:proofErr w:type="gramStart"/>
      <w:r w:rsidRPr="002D7E9A">
        <w:t>Tentunya  hal</w:t>
      </w:r>
      <w:proofErr w:type="gramEnd"/>
      <w:r w:rsidRPr="002D7E9A">
        <w:t xml:space="preserve">  itu  dilakukan  tidak  pada  tempatnya,  jika  menentukan   adanya   kesengajaan   pada   korporasi.   </w:t>
      </w:r>
      <w:proofErr w:type="gramStart"/>
      <w:r w:rsidRPr="002D7E9A">
        <w:t>tetapi</w:t>
      </w:r>
      <w:proofErr w:type="gramEnd"/>
      <w:r w:rsidRPr="002D7E9A">
        <w:t xml:space="preserve">   hal   tersebut   dilakukan   berpangkal   tolak   pada   pandangan   kesalahan   yang   sangat   subjektif.</w:t>
      </w:r>
      <w:r w:rsidRPr="002D7E9A">
        <w:rPr>
          <w:rStyle w:val="FootnoteReference"/>
        </w:rPr>
        <w:footnoteReference w:id="6"/>
      </w:r>
    </w:p>
    <w:p w:rsidR="004368D4" w:rsidRPr="002D7E9A" w:rsidRDefault="004368D4" w:rsidP="002D7E9A">
      <w:pPr>
        <w:pStyle w:val="Default"/>
        <w:spacing w:after="240" w:line="360" w:lineRule="auto"/>
        <w:ind w:left="426"/>
        <w:jc w:val="both"/>
      </w:pPr>
      <w:r w:rsidRPr="002D7E9A">
        <w:t xml:space="preserve">Mengingat  tindak  pidana  korporasi  hanya  akan  terjadi  dalam  bentuk  penyertaan,  maka  kesalahan  korporasi  merupakan  lanjutan  dari  kesalahan  materiilnya.  </w:t>
      </w:r>
      <w:proofErr w:type="gramStart"/>
      <w:r w:rsidRPr="002D7E9A">
        <w:t>Namun  demikian</w:t>
      </w:r>
      <w:proofErr w:type="gramEnd"/>
      <w:r w:rsidRPr="002D7E9A">
        <w:t>,  perlu  diingat  bahwa  pertanggungjawaban  pidana penyertaan hanya dapat dilakukan terhadap dengan kesengajaan hal ini menyebabkan jika penyertaan diikuti dengan kealpaan.</w:t>
      </w:r>
    </w:p>
    <w:p w:rsidR="004368D4" w:rsidRPr="002D7E9A" w:rsidRDefault="004368D4" w:rsidP="002D7E9A">
      <w:pPr>
        <w:pStyle w:val="Default"/>
        <w:spacing w:after="240" w:line="360" w:lineRule="auto"/>
        <w:ind w:left="426"/>
        <w:jc w:val="both"/>
      </w:pPr>
      <w:r w:rsidRPr="002D7E9A">
        <w:t xml:space="preserve">Untuk menentukan bahwa suatu korporasi melakukan suatu perbuatan pidana  yang  memiliki  kesalahan,  harus  dipastikan  dahulu  tindak  pidana  </w:t>
      </w:r>
      <w:r w:rsidRPr="002D7E9A">
        <w:lastRenderedPageBreak/>
        <w:t>korporasi   yang   digunakan   sebagai   teoritis   untuk   menentukan   salah   tidaknya  korporasi  melalui  bermacam-macam  teori  korporasi.  Hal  ini  penting karena pandangan tradisional KUHP yang masih dominan hingga saat   ini   masih   dipengaruhi   asas   “</w:t>
      </w:r>
      <w:r w:rsidRPr="002D7E9A">
        <w:rPr>
          <w:i/>
        </w:rPr>
        <w:t>sociestas   delinquere   non-potest</w:t>
      </w:r>
      <w:r w:rsidRPr="002D7E9A">
        <w:t>”,akibatnya  korporasi  tidak  mungkin  melakukan  terdapat  kesalahan  pada  dirinya  karena  ia  tidak  memiliki  kalbu.  Setelah  itu,  tindak  pidana  yang  dilakukan  korporasi  harus  merupakan  perbuatan  melawan  hukum  dan  tanpa ada alasan menghapus sifat melawan hukumnya suatu perbuatan.</w:t>
      </w:r>
    </w:p>
    <w:p w:rsidR="004368D4" w:rsidRPr="002D7E9A" w:rsidRDefault="004368D4" w:rsidP="002D7E9A">
      <w:pPr>
        <w:pStyle w:val="Default"/>
        <w:spacing w:line="360" w:lineRule="auto"/>
        <w:ind w:left="426"/>
        <w:jc w:val="both"/>
      </w:pPr>
      <w:r w:rsidRPr="002D7E9A">
        <w:t xml:space="preserve">Pada diri korporasi juga harus terdapat hal-hal yang sampai pada suatu kesimpulan   bahwa   </w:t>
      </w:r>
      <w:proofErr w:type="gramStart"/>
      <w:r w:rsidRPr="002D7E9A">
        <w:t>ia</w:t>
      </w:r>
      <w:proofErr w:type="gramEnd"/>
      <w:r w:rsidRPr="002D7E9A">
        <w:t xml:space="preserve">   termasuk   pelaku   yang   memiliki   kemampuan   bertanggungjawab pidana atas tindak pidana yang dilakukan.</w:t>
      </w:r>
      <w:r w:rsidRPr="002D7E9A">
        <w:rPr>
          <w:rStyle w:val="FootnoteReference"/>
        </w:rPr>
        <w:footnoteReference w:id="7"/>
      </w:r>
      <w:proofErr w:type="gramStart"/>
      <w:r w:rsidRPr="002D7E9A">
        <w:t xml:space="preserve">Dengan menghubungkan kesalahan dengan teori pertanggungjawaban pidana korporasi, maka pada teori </w:t>
      </w:r>
      <w:r w:rsidRPr="002D7E9A">
        <w:rPr>
          <w:i/>
        </w:rPr>
        <w:t>strict liabilty</w:t>
      </w:r>
      <w:r w:rsidRPr="002D7E9A">
        <w:t>, eksistensi kesalahan korporasi tetap diperlukan walaupun tidak perlu dibuktikan.</w:t>
      </w:r>
      <w:proofErr w:type="gramEnd"/>
      <w:r w:rsidRPr="002D7E9A">
        <w:t xml:space="preserve"> Premis  dasar utama pada teori ini yaitu </w:t>
      </w:r>
      <w:r w:rsidRPr="002D7E9A">
        <w:rPr>
          <w:i/>
        </w:rPr>
        <w:t>liability without fault</w:t>
      </w:r>
      <w:r w:rsidRPr="002D7E9A">
        <w:t xml:space="preserve"> tidak kemudian dimaknai bahwa teori  tersebut  lebih  kepada  tidak  perlunya  pembuktian  unsur  kesalahan  pada  korporasi.  terbuktinya  unsur  tindak  pidana  sudah  cukup  bagi  hakim  untuk menjatuhkan pidana kepada korporasi, tanpa perlu dibuktikan unsur kesalahannya,  karena  bila  kesalahan  tidak  diperlukan,  hal  demikian  sama  saja   melabrak   asas   “tiada   pidana   tanpa   kesalahan”.</w:t>
      </w:r>
    </w:p>
    <w:p w:rsidR="004368D4" w:rsidRPr="002D7E9A" w:rsidRDefault="004368D4" w:rsidP="002D7E9A">
      <w:pPr>
        <w:pStyle w:val="Default"/>
        <w:spacing w:before="240" w:line="360" w:lineRule="auto"/>
        <w:ind w:left="426"/>
        <w:jc w:val="both"/>
      </w:pPr>
      <w:r w:rsidRPr="002D7E9A">
        <w:t>Jadi kesalahan korporasi pada teori strict liability</w:t>
      </w:r>
      <w:r w:rsidR="00D22490">
        <w:t xml:space="preserve"> </w:t>
      </w:r>
      <w:r w:rsidRPr="002D7E9A">
        <w:t xml:space="preserve">tetap ada, tapi tidak </w:t>
      </w:r>
      <w:proofErr w:type="gramStart"/>
      <w:r w:rsidRPr="002D7E9A">
        <w:t>perlu  dibuktikan</w:t>
      </w:r>
      <w:proofErr w:type="gramEnd"/>
      <w:r w:rsidRPr="002D7E9A">
        <w:t xml:space="preserve">.  </w:t>
      </w:r>
      <w:proofErr w:type="gramStart"/>
      <w:r w:rsidRPr="002D7E9A">
        <w:t>Terdapat  empat</w:t>
      </w:r>
      <w:proofErr w:type="gramEnd"/>
      <w:r w:rsidRPr="002D7E9A">
        <w:t xml:space="preserve">  alasan  mengapa  eksistensi  kesalahan  tidak   perlu   dibuktikan. Pertama,    hubungan antara tindak pidana “</w:t>
      </w:r>
      <w:r w:rsidRPr="002D7E9A">
        <w:rPr>
          <w:i/>
        </w:rPr>
        <w:t>quasi/public   welfare</w:t>
      </w:r>
      <w:r w:rsidRPr="002D7E9A">
        <w:t xml:space="preserve">” dan teori </w:t>
      </w:r>
      <w:r w:rsidRPr="002D7E9A">
        <w:rPr>
          <w:i/>
        </w:rPr>
        <w:t>strict liability</w:t>
      </w:r>
      <w:r w:rsidRPr="002D7E9A">
        <w:t xml:space="preserve"> dengan   sendirinya   terpenuhi (</w:t>
      </w:r>
      <w:r w:rsidRPr="002D7E9A">
        <w:rPr>
          <w:i/>
        </w:rPr>
        <w:t>self-fulling</w:t>
      </w:r>
      <w:r w:rsidRPr="002D7E9A">
        <w:t xml:space="preserve">), baik pada tataran legislative maupun pada </w:t>
      </w:r>
      <w:proofErr w:type="gramStart"/>
      <w:r w:rsidRPr="002D7E9A">
        <w:t>tataran  penafsiran</w:t>
      </w:r>
      <w:proofErr w:type="gramEnd"/>
      <w:r w:rsidRPr="002D7E9A">
        <w:t xml:space="preserve">. Pembebanan </w:t>
      </w:r>
      <w:r w:rsidRPr="002D7E9A">
        <w:rPr>
          <w:i/>
        </w:rPr>
        <w:t>strict liability</w:t>
      </w:r>
      <w:r w:rsidRPr="002D7E9A">
        <w:t xml:space="preserve"> pada tataran legislatif  dibenarkan  karena tindak  yang  dilarang  tidak  dipikirkan  sebagai  tindak  “nyata”  atau  bukan.   Jadi,   pada   saat   yang   sama   parlemen   (Inggris)   telah   terbukti   bermaksud  mengatakan  tindak  pidana  yang  dilarang  merupakan  tindak  pidana  yang  </w:t>
      </w:r>
      <w:r w:rsidRPr="002D7E9A">
        <w:lastRenderedPageBreak/>
        <w:t>nyata  (</w:t>
      </w:r>
      <w:r w:rsidRPr="002D7E9A">
        <w:rPr>
          <w:i/>
        </w:rPr>
        <w:t>real  crime</w:t>
      </w:r>
      <w:r w:rsidRPr="002D7E9A">
        <w:t xml:space="preserve">).  </w:t>
      </w:r>
      <w:proofErr w:type="gramStart"/>
      <w:r w:rsidRPr="002D7E9A">
        <w:t>Parlemen  seyogianya</w:t>
      </w:r>
      <w:proofErr w:type="gramEnd"/>
      <w:r w:rsidRPr="002D7E9A">
        <w:t xml:space="preserve">  telah  bermaksud mensyaratkan sikap kalbu dalam teori </w:t>
      </w:r>
      <w:r w:rsidRPr="002D7E9A">
        <w:rPr>
          <w:i/>
        </w:rPr>
        <w:t>strict liability</w:t>
      </w:r>
      <w:r w:rsidRPr="002D7E9A">
        <w:t>.</w:t>
      </w:r>
    </w:p>
    <w:p w:rsidR="004368D4" w:rsidRPr="002D7E9A" w:rsidRDefault="004368D4" w:rsidP="002D7E9A">
      <w:pPr>
        <w:pStyle w:val="Default"/>
        <w:spacing w:before="240" w:line="360" w:lineRule="auto"/>
        <w:ind w:left="426"/>
        <w:jc w:val="both"/>
      </w:pPr>
      <w:r w:rsidRPr="002D7E9A">
        <w:t xml:space="preserve">Kedua, teori </w:t>
      </w:r>
      <w:r w:rsidRPr="002D7E9A">
        <w:rPr>
          <w:i/>
        </w:rPr>
        <w:t>strict liability</w:t>
      </w:r>
      <w:r w:rsidRPr="002D7E9A">
        <w:t xml:space="preserve"> dengan    tepat    telah    dirancangkan    sedimikian  rupa  untuk  para  inspektur  pengawas  yang  sering  dihadapkan pada  suatu  delima  yang  nyata  atas  tingkat  kegawatan  tindak  pidana  korporasi, di mana standart-standart perusahaan yang tidak memadai dapat menimbulkan  kerugian  yang  nyata.  </w:t>
      </w:r>
      <w:proofErr w:type="gramStart"/>
      <w:r w:rsidRPr="002D7E9A">
        <w:t>Pola  pengawasan</w:t>
      </w:r>
      <w:proofErr w:type="gramEnd"/>
      <w:r w:rsidRPr="002D7E9A">
        <w:t xml:space="preserve">  administratif  ini  sering diterapkan dengan memasukkan tindak pidan</w:t>
      </w:r>
      <w:r w:rsidR="00D22490">
        <w:t>a</w:t>
      </w:r>
      <w:r w:rsidRPr="002D7E9A">
        <w:t xml:space="preserve"> strict liability</w:t>
      </w:r>
      <w:r w:rsidR="00D22490">
        <w:t xml:space="preserve"> </w:t>
      </w:r>
      <w:r w:rsidRPr="002D7E9A">
        <w:t>sebagai hasil   lobi   para   jaksa   inspektur   pengawas   kepada   parlemen   karena   keengganan jaksa setempat untuk melakukan penuntutan.</w:t>
      </w:r>
    </w:p>
    <w:p w:rsidR="004368D4" w:rsidRPr="002D7E9A" w:rsidRDefault="004368D4" w:rsidP="002D7E9A">
      <w:pPr>
        <w:pStyle w:val="Default"/>
        <w:spacing w:before="240" w:line="360" w:lineRule="auto"/>
        <w:ind w:left="426"/>
        <w:jc w:val="both"/>
      </w:pPr>
      <w:r w:rsidRPr="002D7E9A">
        <w:t>Ketiga, model deskriptif berupa dikotomi antara peraturan dan tindak pidana</w:t>
      </w:r>
      <w:proofErr w:type="gramStart"/>
      <w:r w:rsidRPr="002D7E9A">
        <w:t>,  semi</w:t>
      </w:r>
      <w:proofErr w:type="gramEnd"/>
      <w:r w:rsidRPr="002D7E9A">
        <w:t xml:space="preserve">  tindak  pidana  dan  tindak  pidana  nyata,  serta </w:t>
      </w:r>
      <w:r w:rsidRPr="002D7E9A">
        <w:rPr>
          <w:i/>
        </w:rPr>
        <w:t>strict liability</w:t>
      </w:r>
      <w:r w:rsidRPr="002D7E9A">
        <w:t xml:space="preserve"> dan mensrea adalah keliru dan menyesatkan. Kata-kata tindak pidana dan hukum  pidana  pada  umumnya  menimbulkan  bayangan  tentang  apa  yang  disebut  tindak-tindak  (pidana)  yang  betul-betul  melanggar  moral,  seperti  pembunuhan, perkosaan dan perampokan.</w:t>
      </w:r>
    </w:p>
    <w:p w:rsidR="004368D4" w:rsidRPr="002D7E9A" w:rsidRDefault="004368D4" w:rsidP="002D7E9A">
      <w:pPr>
        <w:pStyle w:val="Default"/>
        <w:spacing w:before="240" w:line="360" w:lineRule="auto"/>
        <w:ind w:left="426"/>
        <w:jc w:val="both"/>
      </w:pPr>
      <w:r w:rsidRPr="002D7E9A">
        <w:t xml:space="preserve">Keempat, tidak  perlu  dibuktikan  unsur  kesalahan  pada  teori  </w:t>
      </w:r>
      <w:r w:rsidRPr="002D7E9A">
        <w:rPr>
          <w:i/>
        </w:rPr>
        <w:t>strict liability</w:t>
      </w:r>
      <w:r w:rsidRPr="002D7E9A">
        <w:t xml:space="preserve"> didasarkan   pada   alasan   bahwa   tindak   pidana   yang   diatur   kebanyakan  menyangkut  perlindungan  kepentingan  umum  masyarakat  seperti  kesehatan  lingkungan  hidup.  Dengan  doktrin  ini,  maka  fakta  yang  bersifat   menderitakan   si   korban   sesuai   dengan   adagium   “</w:t>
      </w:r>
      <w:r w:rsidRPr="002D7E9A">
        <w:rPr>
          <w:i/>
        </w:rPr>
        <w:t>res ipsa loquitor</w:t>
      </w:r>
      <w:r w:rsidRPr="002D7E9A">
        <w:t>”,  (fakta  sudah  berbicara  sendiri),  sehingga  unsur  kesalahan  tidak  perlu dibuktikan.</w:t>
      </w:r>
    </w:p>
    <w:p w:rsidR="004368D4" w:rsidRPr="002D7E9A" w:rsidRDefault="004368D4" w:rsidP="002D7E9A">
      <w:pPr>
        <w:pStyle w:val="Default"/>
        <w:spacing w:before="240" w:line="360" w:lineRule="auto"/>
        <w:ind w:left="426"/>
        <w:jc w:val="both"/>
      </w:pPr>
      <w:r w:rsidRPr="002D7E9A">
        <w:t xml:space="preserve">Pada </w:t>
      </w:r>
      <w:r w:rsidRPr="002D7E9A">
        <w:rPr>
          <w:i/>
        </w:rPr>
        <w:t>teori vicarious liability</w:t>
      </w:r>
      <w:r w:rsidRPr="002D7E9A">
        <w:t>,  yang  memiliki kesalahan  adalah  pelaku  fisik,  bukan  korporasi, tapi  karena  pelaku  tersebut  ketika  melakukan  tindak   pidana   dan   terdapat   kesalahan   pada   dirinya   bertindak   untuk kepentingan  korporasi/majikan,  maka  kesalahan  pelaku  digantikan  oleh  korporasi  dan  men</w:t>
      </w:r>
      <w:r w:rsidR="00D22490">
        <w:t>j</w:t>
      </w:r>
      <w:r w:rsidRPr="002D7E9A">
        <w:t xml:space="preserve">adi  kesalahan  korporasi  karena  antar  pelaku  fisik  dengan korporasi/majikan  ada  hubungan  atas  bawahan,  dan  keuntungan  </w:t>
      </w:r>
      <w:r w:rsidRPr="002D7E9A">
        <w:lastRenderedPageBreak/>
        <w:t>yang  diperoleh  pelaku  fisik  tersebut  sesungguhnya  bukan  merupakan  keuntungan yang dimiliki dirinya sendiri, tapi keuntungan korporasi.</w:t>
      </w:r>
    </w:p>
    <w:p w:rsidR="004368D4" w:rsidRPr="002D7E9A" w:rsidRDefault="004368D4" w:rsidP="002D7E9A">
      <w:pPr>
        <w:pStyle w:val="Default"/>
        <w:spacing w:before="240" w:line="360" w:lineRule="auto"/>
        <w:ind w:left="426"/>
        <w:jc w:val="both"/>
      </w:pPr>
      <w:r w:rsidRPr="002D7E9A">
        <w:t xml:space="preserve">Teori  identifikasi,  penentuan  kesalahan  korporasi  adalah  melihat  apakah  pengurus,  yang  bertindak  untuk  dan  atas  atau  nama  korporasi  memiliki   kesalahan.   Jika   jawabannya   adalah   iya,   maka   korporasi   </w:t>
      </w:r>
      <w:proofErr w:type="gramStart"/>
      <w:r w:rsidRPr="002D7E9A">
        <w:t>dinyatakan  bersalah</w:t>
      </w:r>
      <w:proofErr w:type="gramEnd"/>
      <w:r w:rsidRPr="002D7E9A">
        <w:t xml:space="preserve">  atas  tindak  pidana  yang  dilakukannya.  Mardjono  Reksodiputro  menyatakan  bahwa  kesalahan  yang  ada  pada  diri  pengurus  korporasi dialihkan atau menjadi alasan korporasi itu sendiri.</w:t>
      </w:r>
    </w:p>
    <w:p w:rsidR="004368D4" w:rsidRPr="002D7E9A" w:rsidRDefault="004368D4" w:rsidP="002D7E9A">
      <w:pPr>
        <w:pStyle w:val="Default"/>
        <w:spacing w:before="240" w:line="360" w:lineRule="auto"/>
        <w:ind w:left="426"/>
        <w:jc w:val="both"/>
      </w:pPr>
      <w:r w:rsidRPr="002D7E9A">
        <w:t xml:space="preserve">Walaupun   kesalahan   pengurus   korporasi   dialihkan   dan   menjadi   kesalahan korporasi, isi kesalahan tersebut berbeda dengan kesalahan pada </w:t>
      </w:r>
      <w:proofErr w:type="gramStart"/>
      <w:r w:rsidRPr="002D7E9A">
        <w:t>subjek  manusia</w:t>
      </w:r>
      <w:proofErr w:type="gramEnd"/>
      <w:r w:rsidRPr="002D7E9A">
        <w:t xml:space="preserve">.  </w:t>
      </w:r>
      <w:proofErr w:type="gramStart"/>
      <w:r w:rsidRPr="002D7E9A">
        <w:t>Dasar  dari</w:t>
      </w:r>
      <w:proofErr w:type="gramEnd"/>
      <w:r w:rsidRPr="002D7E9A">
        <w:t xml:space="preserve">  penetapan  dipersalahkan  korporasi  ialah  tidak  dipenuhinya dengan baik fungsi kemasyarakatan yang dimiliki korporasi.</w:t>
      </w:r>
    </w:p>
    <w:p w:rsidR="004368D4" w:rsidRPr="002D7E9A" w:rsidRDefault="004368D4" w:rsidP="002D7E9A">
      <w:pPr>
        <w:pStyle w:val="Default"/>
        <w:spacing w:before="240" w:after="240" w:line="360" w:lineRule="auto"/>
        <w:ind w:left="426"/>
        <w:jc w:val="both"/>
      </w:pPr>
      <w:r w:rsidRPr="002D7E9A">
        <w:t xml:space="preserve">Sementara  pada  teori  </w:t>
      </w:r>
      <w:r w:rsidRPr="002D7E9A">
        <w:rPr>
          <w:i/>
        </w:rPr>
        <w:t>aggregasi,</w:t>
      </w:r>
      <w:r w:rsidRPr="002D7E9A">
        <w:t xml:space="preserve">  dimana  kesalahan  dimaksud  hanya  berada  pada  diri  satu  orang  pelaku,  tapi  berada  pada  sejumlah  orang  pelaku.  Ciri  khas  teori  aggregasi  adalah  pada  adanya  kesalahan  kolektif  (</w:t>
      </w:r>
      <w:r w:rsidRPr="002D7E9A">
        <w:rPr>
          <w:i/>
        </w:rPr>
        <w:t>collective  knowledge</w:t>
      </w:r>
      <w:r w:rsidRPr="002D7E9A">
        <w:t xml:space="preserve">),  suatu  konsep  yang  memungkinkan  dilakukannya  (kombinasi)  unsur  kesalahan  dari  sejumlah  pelaku  untuk  diatribusikan  kepada   korporasi   sehingga   korporasi   dibebani   pertanggungjawaban pidana.   </w:t>
      </w:r>
      <w:proofErr w:type="gramStart"/>
      <w:r w:rsidRPr="002D7E9A">
        <w:t>Semua   unsur   kesalahan   semua   pelaku   yang   terkait   dengan   korporasi seakan-akan ada pada satu orang saja.</w:t>
      </w:r>
      <w:proofErr w:type="gramEnd"/>
    </w:p>
    <w:p w:rsidR="004368D4" w:rsidRPr="002D7E9A" w:rsidRDefault="004368D4" w:rsidP="002D7E9A">
      <w:pPr>
        <w:pStyle w:val="Default"/>
        <w:spacing w:line="360" w:lineRule="auto"/>
        <w:ind w:left="426"/>
        <w:jc w:val="both"/>
      </w:pPr>
      <w:r w:rsidRPr="002D7E9A">
        <w:t xml:space="preserve">Untuk   menentukan   bentuk   pertanggungjawaban   pidana   korporasi   melakukan tindak pidana kebakaran hutan </w:t>
      </w:r>
      <w:r w:rsidR="002D7E9A">
        <w:t>dan lahan pada Undang-undang Nomor</w:t>
      </w:r>
      <w:r w:rsidRPr="002D7E9A">
        <w:t xml:space="preserve"> 32  tahun  2009  tentang  Perlindungan  dan  Pengelolaan  Lingku</w:t>
      </w:r>
      <w:r w:rsidR="002D7E9A">
        <w:t>ngan  hidup terdapat Pasal 116 A</w:t>
      </w:r>
      <w:r w:rsidRPr="002D7E9A">
        <w:t>yat (1) yang menyatakan bahwa:</w:t>
      </w:r>
    </w:p>
    <w:p w:rsidR="004368D4" w:rsidRPr="002D7E9A" w:rsidRDefault="004368D4" w:rsidP="002D7E9A">
      <w:pPr>
        <w:pStyle w:val="Default"/>
        <w:spacing w:line="360" w:lineRule="auto"/>
        <w:ind w:left="720"/>
        <w:jc w:val="both"/>
      </w:pPr>
      <w:r w:rsidRPr="002D7E9A">
        <w:t>“Apabila  tindak  pidana  lingkungan  hidup  dilakukan  oleh,  untuk,  atau  nama  badan  usaha,  tuntutan  pidana  dan  sanksi  dijatuhkan  kepada :</w:t>
      </w:r>
    </w:p>
    <w:p w:rsidR="004368D4" w:rsidRPr="002D7E9A" w:rsidRDefault="004368D4" w:rsidP="002D7E9A">
      <w:pPr>
        <w:pStyle w:val="Default"/>
        <w:numPr>
          <w:ilvl w:val="0"/>
          <w:numId w:val="10"/>
        </w:numPr>
        <w:spacing w:line="360" w:lineRule="auto"/>
        <w:jc w:val="both"/>
      </w:pPr>
      <w:r w:rsidRPr="002D7E9A">
        <w:t>Badan usaha.</w:t>
      </w:r>
    </w:p>
    <w:p w:rsidR="004368D4" w:rsidRPr="002D7E9A" w:rsidRDefault="004368D4" w:rsidP="002D7E9A">
      <w:pPr>
        <w:pStyle w:val="Default"/>
        <w:numPr>
          <w:ilvl w:val="0"/>
          <w:numId w:val="10"/>
        </w:numPr>
        <w:spacing w:after="240" w:line="360" w:lineRule="auto"/>
        <w:jc w:val="both"/>
      </w:pPr>
      <w:proofErr w:type="gramStart"/>
      <w:r w:rsidRPr="002D7E9A">
        <w:lastRenderedPageBreak/>
        <w:t>Orang  yang</w:t>
      </w:r>
      <w:proofErr w:type="gramEnd"/>
      <w:r w:rsidRPr="002D7E9A">
        <w:t xml:space="preserve">  memberi  perintah  untuk  melakukan  tindak  pidana    tersebut    atau    orang    yang    bertindak    sebagai    pemimpin kegiatan dalam tindak pidana tersebut.</w:t>
      </w:r>
    </w:p>
    <w:p w:rsidR="004368D4" w:rsidRPr="002D7E9A" w:rsidRDefault="004368D4" w:rsidP="002D7E9A">
      <w:pPr>
        <w:pStyle w:val="Default"/>
        <w:spacing w:after="240" w:line="360" w:lineRule="auto"/>
        <w:ind w:left="426"/>
        <w:jc w:val="both"/>
      </w:pPr>
      <w:r w:rsidRPr="002D7E9A">
        <w:t>Dapat  disimpulkan  korporasi  tidak  dapat  melakukan  tindak  pidana  kebakaran hutan dan l</w:t>
      </w:r>
      <w:r w:rsidR="002D7E9A">
        <w:t>ahan pada Pasal 69 huruf h, 98 A</w:t>
      </w:r>
      <w:r w:rsidRPr="002D7E9A">
        <w:t xml:space="preserve">yat (1), 99 (1) yaitu membuka  lahan  dengan  cara  membakar  serta  dengan  sengaja  atau  karena  kelalaian  menyebabkan  dilampauinya  baku  mutu  lingkungan  hidup  tanpa perantara   orang   lain.    Maka   bentuk   kesalahan   dari   korporasi   adalah kesalahan baik itu kesengajaan atau kelalaian dari orang yang berdasarkan hubungan kerja atau hubungan lain untuk, atau atas </w:t>
      </w:r>
      <w:proofErr w:type="gramStart"/>
      <w:r w:rsidRPr="002D7E9A">
        <w:t>nama</w:t>
      </w:r>
      <w:proofErr w:type="gramEnd"/>
      <w:r w:rsidRPr="002D7E9A">
        <w:t xml:space="preserve"> badan usaha.</w:t>
      </w:r>
    </w:p>
    <w:p w:rsidR="004368D4" w:rsidRPr="002D7E9A" w:rsidRDefault="004368D4" w:rsidP="002D7E9A">
      <w:pPr>
        <w:pStyle w:val="Default"/>
        <w:spacing w:after="240" w:line="360" w:lineRule="auto"/>
        <w:ind w:left="426"/>
        <w:jc w:val="both"/>
      </w:pPr>
      <w:r w:rsidRPr="002D7E9A">
        <w:t xml:space="preserve">Apabila tindak pidana  kebakaran  hutan  dilakukan  oleh  orang  yang  berdasarkan  hubungan  kerja  atau  hubungan  lain  yang  bertindak  dalam  ruang  lingkup  kerja badan  usaha,  maka  sanksi  pidana  dijatuhkan  kepada  pemberi  perintah  atau  pemimpin  dalam  tindak  pidana  tersebut  tanpa memperhatikan   tindak   pidana   tersebut   dilakukan   secara   sendiri   </w:t>
      </w:r>
      <w:r w:rsidR="002D7E9A">
        <w:t>atau   bersama-sama (Pasal 116 A</w:t>
      </w:r>
      <w:r w:rsidRPr="002D7E9A">
        <w:t>yat 2)</w:t>
      </w:r>
      <w:r w:rsidRPr="002D7E9A">
        <w:rPr>
          <w:rStyle w:val="FootnoteReference"/>
        </w:rPr>
        <w:footnoteReference w:id="8"/>
      </w:r>
      <w:r w:rsidRPr="002D7E9A">
        <w:t>.</w:t>
      </w:r>
    </w:p>
    <w:p w:rsidR="004368D4" w:rsidRPr="002D7E9A" w:rsidRDefault="004368D4" w:rsidP="002D7E9A">
      <w:pPr>
        <w:pStyle w:val="Default"/>
        <w:spacing w:after="240" w:line="360" w:lineRule="auto"/>
        <w:ind w:left="426"/>
        <w:jc w:val="both"/>
      </w:pPr>
      <w:r w:rsidRPr="002D7E9A">
        <w:t>Sementara   itu   apabila   korporasi   yang melakukan   tindak   pidana   kebakaran  hutan  dan  lahan  terhadap  badan  usaha  dapat  dikenakan  pidanadenda,  pidana  tambahan  atau  tindakan  tata  tertib  seperti  dalam  Pasal  119  UUPPLH :</w:t>
      </w:r>
    </w:p>
    <w:p w:rsidR="004368D4" w:rsidRPr="002D7E9A" w:rsidRDefault="004368D4" w:rsidP="002D7E9A">
      <w:pPr>
        <w:pStyle w:val="Default"/>
        <w:numPr>
          <w:ilvl w:val="0"/>
          <w:numId w:val="11"/>
        </w:numPr>
        <w:spacing w:line="360" w:lineRule="auto"/>
        <w:ind w:left="1418"/>
        <w:jc w:val="both"/>
      </w:pPr>
      <w:r w:rsidRPr="002D7E9A">
        <w:t>Perampasan keuntungan yang diperoleh dari tindak pidana.</w:t>
      </w:r>
    </w:p>
    <w:p w:rsidR="004368D4" w:rsidRPr="002D7E9A" w:rsidRDefault="004368D4" w:rsidP="002D7E9A">
      <w:pPr>
        <w:pStyle w:val="Default"/>
        <w:numPr>
          <w:ilvl w:val="0"/>
          <w:numId w:val="11"/>
        </w:numPr>
        <w:spacing w:line="360" w:lineRule="auto"/>
        <w:ind w:left="1418"/>
        <w:jc w:val="both"/>
      </w:pPr>
      <w:r w:rsidRPr="002D7E9A">
        <w:t>Penutupan seluruh atau sebagian tempat usaha dan/atau kegiatan.</w:t>
      </w:r>
    </w:p>
    <w:p w:rsidR="004368D4" w:rsidRPr="002D7E9A" w:rsidRDefault="004368D4" w:rsidP="002D7E9A">
      <w:pPr>
        <w:pStyle w:val="Default"/>
        <w:numPr>
          <w:ilvl w:val="0"/>
          <w:numId w:val="11"/>
        </w:numPr>
        <w:spacing w:line="360" w:lineRule="auto"/>
        <w:ind w:left="1418"/>
        <w:jc w:val="both"/>
      </w:pPr>
      <w:r w:rsidRPr="002D7E9A">
        <w:t>Perbaikan akibat tindak pidana.</w:t>
      </w:r>
    </w:p>
    <w:p w:rsidR="004368D4" w:rsidRPr="002D7E9A" w:rsidRDefault="004368D4" w:rsidP="002D7E9A">
      <w:pPr>
        <w:pStyle w:val="Default"/>
        <w:numPr>
          <w:ilvl w:val="0"/>
          <w:numId w:val="11"/>
        </w:numPr>
        <w:spacing w:line="360" w:lineRule="auto"/>
        <w:ind w:left="1418"/>
        <w:jc w:val="both"/>
      </w:pPr>
      <w:r w:rsidRPr="002D7E9A">
        <w:t xml:space="preserve">Kewajiban mengerjakan </w:t>
      </w:r>
      <w:proofErr w:type="gramStart"/>
      <w:r w:rsidRPr="002D7E9A">
        <w:t>apa</w:t>
      </w:r>
      <w:proofErr w:type="gramEnd"/>
      <w:r w:rsidRPr="002D7E9A">
        <w:t xml:space="preserve"> yang dilalaikan tanpa hak.</w:t>
      </w:r>
    </w:p>
    <w:p w:rsidR="004368D4" w:rsidRPr="002D7E9A" w:rsidRDefault="004368D4" w:rsidP="002D7E9A">
      <w:pPr>
        <w:pStyle w:val="Default"/>
        <w:numPr>
          <w:ilvl w:val="0"/>
          <w:numId w:val="11"/>
        </w:numPr>
        <w:spacing w:after="240" w:line="360" w:lineRule="auto"/>
        <w:ind w:left="1418"/>
        <w:jc w:val="both"/>
      </w:pPr>
      <w:r w:rsidRPr="002D7E9A">
        <w:t>Penempatan perusahaan dibawah pengampuan paling lama 3 (tiga) tahun.</w:t>
      </w:r>
    </w:p>
    <w:p w:rsidR="004368D4" w:rsidRPr="002D7E9A" w:rsidRDefault="004368D4" w:rsidP="009F51D0">
      <w:pPr>
        <w:pStyle w:val="ListParagraph"/>
        <w:numPr>
          <w:ilvl w:val="0"/>
          <w:numId w:val="8"/>
        </w:numPr>
        <w:spacing w:after="0"/>
        <w:ind w:left="426"/>
        <w:rPr>
          <w:rFonts w:ascii="Times New Roman" w:hAnsi="Times New Roman" w:cs="Times New Roman"/>
          <w:sz w:val="24"/>
          <w:szCs w:val="24"/>
        </w:rPr>
      </w:pPr>
      <w:r w:rsidRPr="002D7E9A">
        <w:rPr>
          <w:rFonts w:ascii="Times New Roman" w:hAnsi="Times New Roman" w:cs="Times New Roman"/>
          <w:sz w:val="24"/>
          <w:szCs w:val="24"/>
        </w:rPr>
        <w:lastRenderedPageBreak/>
        <w:t>Implementasi pertanggungjawaban pidana korporasi</w:t>
      </w:r>
      <w:bookmarkStart w:id="0" w:name="_GoBack"/>
      <w:bookmarkEnd w:id="0"/>
      <w:r w:rsidRPr="002D7E9A">
        <w:rPr>
          <w:rFonts w:ascii="Times New Roman" w:hAnsi="Times New Roman" w:cs="Times New Roman"/>
          <w:sz w:val="24"/>
          <w:szCs w:val="24"/>
        </w:rPr>
        <w:t xml:space="preserve"> dalam pembakaran hutan</w:t>
      </w:r>
    </w:p>
    <w:p w:rsidR="00E53FB2" w:rsidRPr="002D7E9A" w:rsidRDefault="00E53FB2" w:rsidP="002D7E9A">
      <w:pPr>
        <w:pStyle w:val="Default"/>
        <w:spacing w:line="360" w:lineRule="auto"/>
        <w:ind w:left="426"/>
        <w:jc w:val="both"/>
      </w:pPr>
      <w:r w:rsidRPr="002D7E9A">
        <w:t>Dalam  hubungan  dengan  Undang-Undang  Nomor  32  Tahun 2009  tentang  Perlindungan  dan  Pengelolaan Lingkungan Hidup,penegakan hukum dibidang lingkungan hidup dapat diklasifikasikankedalam 3 (tiga) kategori yaitu :</w:t>
      </w:r>
    </w:p>
    <w:p w:rsidR="00380CA5" w:rsidRPr="002D7E9A" w:rsidRDefault="00E53FB2" w:rsidP="002D7E9A">
      <w:pPr>
        <w:pStyle w:val="Default"/>
        <w:numPr>
          <w:ilvl w:val="0"/>
          <w:numId w:val="13"/>
        </w:numPr>
        <w:spacing w:line="360" w:lineRule="auto"/>
        <w:ind w:left="1276"/>
        <w:jc w:val="both"/>
      </w:pPr>
      <w:r w:rsidRPr="002D7E9A">
        <w:t>Penegakan hukum Lingkungan dalam kaitannya dengan HukumAdministrasi / Tata Usaha Negara;</w:t>
      </w:r>
    </w:p>
    <w:p w:rsidR="00380CA5" w:rsidRPr="002D7E9A" w:rsidRDefault="00E53FB2" w:rsidP="002D7E9A">
      <w:pPr>
        <w:pStyle w:val="Default"/>
        <w:numPr>
          <w:ilvl w:val="0"/>
          <w:numId w:val="13"/>
        </w:numPr>
        <w:spacing w:line="360" w:lineRule="auto"/>
        <w:ind w:left="1276"/>
        <w:jc w:val="both"/>
      </w:pPr>
      <w:r w:rsidRPr="002D7E9A">
        <w:t>Penegakan Hukum Lingkungan dalam kaitannya dengan Hukum Perdata;</w:t>
      </w:r>
    </w:p>
    <w:p w:rsidR="00E53FB2" w:rsidRPr="002D7E9A" w:rsidRDefault="00E53FB2" w:rsidP="002D7E9A">
      <w:pPr>
        <w:pStyle w:val="Default"/>
        <w:numPr>
          <w:ilvl w:val="0"/>
          <w:numId w:val="13"/>
        </w:numPr>
        <w:spacing w:line="360" w:lineRule="auto"/>
        <w:ind w:left="1276"/>
        <w:jc w:val="both"/>
      </w:pPr>
      <w:r w:rsidRPr="002D7E9A">
        <w:t>Penegakan Hukum Lingkungan dalam kaitannya dengan Hukum Pidana.</w:t>
      </w:r>
    </w:p>
    <w:p w:rsidR="00380CA5" w:rsidRPr="002D7E9A" w:rsidRDefault="00E53FB2" w:rsidP="002D7E9A">
      <w:pPr>
        <w:pStyle w:val="Default"/>
        <w:spacing w:before="240" w:line="360" w:lineRule="auto"/>
        <w:ind w:left="426"/>
        <w:jc w:val="both"/>
      </w:pPr>
      <w:proofErr w:type="gramStart"/>
      <w:r w:rsidRPr="002D7E9A">
        <w:t>Upaya  penegakan</w:t>
      </w:r>
      <w:proofErr w:type="gramEnd"/>
      <w:r w:rsidRPr="002D7E9A">
        <w:t xml:space="preserve">  sanksi  administrasi  oleh  pemerintah  secara konsisten sesuai dengan kewenangan yang ada akan berdampak bagipenegakan   hukum   terutama   dalam   rangka   menjaga   kelestarianfungsi    lingkungan    hidup.    Sehubungan    dengan    hal    ini    </w:t>
      </w:r>
      <w:proofErr w:type="gramStart"/>
      <w:r w:rsidRPr="002D7E9A">
        <w:t>makapenegakan  sanksi</w:t>
      </w:r>
      <w:proofErr w:type="gramEnd"/>
      <w:r w:rsidRPr="002D7E9A">
        <w:t xml:space="preserve">  administrasi  merupakan  gardaterdepan   dalanpenegakan   hukum   lingkungan (primum remedium). </w:t>
      </w:r>
      <w:proofErr w:type="gramStart"/>
      <w:r w:rsidRPr="002D7E9A">
        <w:t>Jika sanksi administrasi dinilai tidak efektif barulah dipergunakan sarana sanksi pidana sebagai senjata pamungkas (ultimum remedium).</w:t>
      </w:r>
      <w:proofErr w:type="gramEnd"/>
      <w:r w:rsidRPr="002D7E9A">
        <w:rPr>
          <w:rStyle w:val="FootnoteReference"/>
        </w:rPr>
        <w:footnoteReference w:id="9"/>
      </w:r>
    </w:p>
    <w:p w:rsidR="00380CA5" w:rsidRPr="002D7E9A" w:rsidRDefault="00E53FB2" w:rsidP="002D7E9A">
      <w:pPr>
        <w:pStyle w:val="Default"/>
        <w:spacing w:before="240" w:line="360" w:lineRule="auto"/>
        <w:ind w:left="426"/>
        <w:jc w:val="both"/>
      </w:pPr>
      <w:r w:rsidRPr="002D7E9A">
        <w:t xml:space="preserve">Ini berarti bahwa kegiatan penegakan hukum pidana terhadap suatu  tindak  pidana  lingkungan  hidup  baru  dapat  dimulai  apabila aparat  yang  berwenang  telah  menjatuhkan  sanksi  administrasi  dan telah    menindak    pelanggar    dengan    menjatuhkan    suatu    sanksi administrasi  tesebut.  Apabila  ternyata  tidak  mampu  menghentikan pelanggaran  yang  terjadi  maka  diupayakan  penyelesaian  sengketamelalui   mekanisme   altenatif   di   luar   pengadilan   dalam   bentuk musyawarah / perdamaian / negoisasi / mediasi. Apabila upaya yang </w:t>
      </w:r>
      <w:proofErr w:type="gramStart"/>
      <w:r w:rsidRPr="002D7E9A">
        <w:t>dilakukan  menemui</w:t>
      </w:r>
      <w:proofErr w:type="gramEnd"/>
      <w:r w:rsidRPr="002D7E9A">
        <w:t xml:space="preserve">  jalan  buntu  baru  dapat  digunakan  instrument penegakan hukum pidana lingkungan hidup.</w:t>
      </w:r>
    </w:p>
    <w:p w:rsidR="00380CA5" w:rsidRPr="002D7E9A" w:rsidRDefault="00E53FB2" w:rsidP="002D7E9A">
      <w:pPr>
        <w:pStyle w:val="Default"/>
        <w:spacing w:before="240" w:line="360" w:lineRule="auto"/>
        <w:ind w:left="426"/>
        <w:jc w:val="both"/>
      </w:pPr>
      <w:r w:rsidRPr="002D7E9A">
        <w:lastRenderedPageBreak/>
        <w:t xml:space="preserve">Dalam proses penyidikan oleh penyidik mebutuhkan keterangan dari beberapa ahli, yaitu </w:t>
      </w:r>
      <w:proofErr w:type="gramStart"/>
      <w:r w:rsidRPr="002D7E9A">
        <w:t>dengan  mendatangkan</w:t>
      </w:r>
      <w:proofErr w:type="gramEnd"/>
      <w:r w:rsidRPr="002D7E9A">
        <w:t xml:space="preserve">  ahli  yaitu  ahli  di  bidang  lingkungan  seperti ahli   kerusakan   tanah,   kebakaran   hutan,   ahli   gambut,   serta   ahli hukum  lingkungan.  Sifat  dan  keterangan  yang  diberikan  oleh  ahli tersebut  yaitu  menurut  pengetahuannya  pada  bidang  lingkungan hidup.  </w:t>
      </w:r>
      <w:proofErr w:type="gramStart"/>
      <w:r w:rsidRPr="002D7E9A">
        <w:t>Sehingga  dengan</w:t>
      </w:r>
      <w:proofErr w:type="gramEnd"/>
      <w:r w:rsidRPr="002D7E9A">
        <w:t xml:space="preserve">  keterangannya  tersebut  dapat  memberikan kelengkapan    pemeriksaan    kepada    penyidik    dalam    mencapai kesuksesan proses penyidikan.</w:t>
      </w:r>
      <w:r w:rsidRPr="002D7E9A">
        <w:rPr>
          <w:rStyle w:val="FootnoteReference"/>
        </w:rPr>
        <w:footnoteReference w:id="10"/>
      </w:r>
    </w:p>
    <w:p w:rsidR="00380CA5" w:rsidRPr="002D7E9A" w:rsidRDefault="00E53FB2" w:rsidP="002D7E9A">
      <w:pPr>
        <w:pStyle w:val="Default"/>
        <w:spacing w:before="240" w:line="360" w:lineRule="auto"/>
        <w:ind w:left="426"/>
        <w:jc w:val="both"/>
      </w:pPr>
      <w:r w:rsidRPr="002D7E9A">
        <w:t xml:space="preserve">Korporasi   sebagai   badan   hukum   sudah   tentu   memiliki </w:t>
      </w:r>
      <w:proofErr w:type="gramStart"/>
      <w:r w:rsidRPr="002D7E9A">
        <w:t>identitas  hukum</w:t>
      </w:r>
      <w:proofErr w:type="gramEnd"/>
      <w:r w:rsidRPr="002D7E9A">
        <w:t xml:space="preserve">  tersendiri. </w:t>
      </w:r>
      <w:proofErr w:type="gramStart"/>
      <w:r w:rsidRPr="002D7E9A">
        <w:t>Identitas  hukum</w:t>
      </w:r>
      <w:proofErr w:type="gramEnd"/>
      <w:r w:rsidRPr="002D7E9A">
        <w:t xml:space="preserve">  suatu  korporasi  atau perusahaan terpisah dari identitas hukum para pemegang sahamnya, direksi,  maupun  organ-organ  lainnya.  Dalam  kaidah  hukum  perdata (</w:t>
      </w:r>
      <w:r w:rsidRPr="002D7E9A">
        <w:rPr>
          <w:i/>
        </w:rPr>
        <w:t>civil law</w:t>
      </w:r>
      <w:r w:rsidRPr="002D7E9A">
        <w:t>),   jelas   ditetapkan   bahwa   suatu   korporasi   atau   badan hukum merukapan subjek hukum perdata dapat melakukan aktivitas jual beli,dapat membuat perjanjian atau kontrak dengan pihak lain,serta  dapat  menuntut  dan  dituntut  di  pengadilan  dalam hubungan keperdataan.</w:t>
      </w:r>
      <w:r w:rsidRPr="002D7E9A">
        <w:rPr>
          <w:rStyle w:val="FootnoteReference"/>
        </w:rPr>
        <w:footnoteReference w:id="11"/>
      </w:r>
      <w:r w:rsidRPr="002D7E9A">
        <w:t xml:space="preserve"> Para pemegang saham menikmati keuntungan yang diperoleh   dari konsep tanggungjawab terbatas, dan kegiatan korporasi berlangsung terus-menerus, dalam arti bahwa keberadaannya tidak </w:t>
      </w:r>
      <w:proofErr w:type="gramStart"/>
      <w:r w:rsidRPr="002D7E9A">
        <w:t>akan</w:t>
      </w:r>
      <w:proofErr w:type="gramEnd"/>
      <w:r w:rsidRPr="002D7E9A">
        <w:t xml:space="preserve"> berubah meskipun ada penambahan anggota-anggota baru atau berhentinya atau meninggalnya anggota-anggota yang ada.</w:t>
      </w:r>
    </w:p>
    <w:p w:rsidR="00380CA5" w:rsidRPr="002D7E9A" w:rsidRDefault="00E53FB2" w:rsidP="002D7E9A">
      <w:pPr>
        <w:pStyle w:val="Default"/>
        <w:spacing w:before="240" w:line="360" w:lineRule="auto"/>
        <w:ind w:left="426"/>
        <w:jc w:val="both"/>
      </w:pPr>
      <w:r w:rsidRPr="002D7E9A">
        <w:t>Namun sampai saat ini, konsep pertanggungjawaban pidana ol</w:t>
      </w:r>
      <w:r w:rsidR="00380CA5" w:rsidRPr="002D7E9A">
        <w:t xml:space="preserve">eh korporasi sebagai pribadi </w:t>
      </w:r>
      <w:r w:rsidRPr="002D7E9A">
        <w:t>(</w:t>
      </w:r>
      <w:r w:rsidRPr="002D7E9A">
        <w:rPr>
          <w:i/>
        </w:rPr>
        <w:t>corporate criminal liability</w:t>
      </w:r>
      <w:r w:rsidRPr="002D7E9A">
        <w:t xml:space="preserve">) merupakan hal yang masih mengundang </w:t>
      </w:r>
      <w:proofErr w:type="gramStart"/>
      <w:r w:rsidRPr="002D7E9A">
        <w:t>perdebatan.Banyak  pihak</w:t>
      </w:r>
      <w:proofErr w:type="gramEnd"/>
      <w:r w:rsidRPr="002D7E9A">
        <w:t xml:space="preserve"> yang tidak mendukung pandangan bahwa suatu korporsi yang wujudnya semu dapat   melakukan suatu tindak ke</w:t>
      </w:r>
      <w:r w:rsidR="002D7E9A">
        <w:t xml:space="preserve">jahatan serta memiliki criminal </w:t>
      </w:r>
      <w:r w:rsidRPr="002D7E9A">
        <w:t xml:space="preserve">intent yang melahirkan   pertanggungjawaban pidana. Disamping itu, mustahil untuk dapat </w:t>
      </w:r>
      <w:r w:rsidRPr="002D7E9A">
        <w:lastRenderedPageBreak/>
        <w:t>menghadirkan dikorporasi dengan fisik yang sebenarnya dalam ruang pengadilan danduduk di kursi terdakwa guna menjalani proses peradilan.</w:t>
      </w:r>
    </w:p>
    <w:p w:rsidR="00380CA5" w:rsidRPr="002D7E9A" w:rsidRDefault="00E53FB2" w:rsidP="002D7E9A">
      <w:pPr>
        <w:pStyle w:val="Default"/>
        <w:spacing w:before="240" w:line="360" w:lineRule="auto"/>
        <w:ind w:left="426"/>
        <w:jc w:val="both"/>
      </w:pPr>
      <w:r w:rsidRPr="002D7E9A">
        <w:t xml:space="preserve">Baik dalam sistem hukum </w:t>
      </w:r>
      <w:r w:rsidRPr="002D7E9A">
        <w:rPr>
          <w:i/>
        </w:rPr>
        <w:t>common law</w:t>
      </w:r>
      <w:r w:rsidRPr="002D7E9A">
        <w:t xml:space="preserve"> maupun </w:t>
      </w:r>
      <w:r w:rsidRPr="002D7E9A">
        <w:rPr>
          <w:i/>
        </w:rPr>
        <w:t>civil law</w:t>
      </w:r>
      <w:r w:rsidRPr="002D7E9A">
        <w:t xml:space="preserve">, sangat sulit untuk </w:t>
      </w:r>
      <w:proofErr w:type="gramStart"/>
      <w:r w:rsidRPr="002D7E9A">
        <w:t>dapat  mengatribusikan</w:t>
      </w:r>
      <w:proofErr w:type="gramEnd"/>
      <w:r w:rsidRPr="002D7E9A">
        <w:t xml:space="preserve"> suatu bentuk tindakan tertentu (</w:t>
      </w:r>
      <w:r w:rsidRPr="002D7E9A">
        <w:rPr>
          <w:i/>
        </w:rPr>
        <w:t>actus reusatauguilty act</w:t>
      </w:r>
      <w:r w:rsidRPr="002D7E9A">
        <w:t>) serta membuktikan unsure mensrea (</w:t>
      </w:r>
      <w:r w:rsidRPr="002D7E9A">
        <w:rPr>
          <w:i/>
        </w:rPr>
        <w:t>criminal  intentatauguilty  mind</w:t>
      </w:r>
      <w:r w:rsidRPr="002D7E9A">
        <w:t>) dari suatu entitas abstrak seperti  korporasi.</w:t>
      </w:r>
      <w:r w:rsidRPr="002D7E9A">
        <w:rPr>
          <w:rStyle w:val="FootnoteReference"/>
        </w:rPr>
        <w:footnoteReference w:id="12"/>
      </w:r>
      <w:r w:rsidRPr="002D7E9A">
        <w:t xml:space="preserve"> Di Indonesia, meskipun undang-undang diatas dapat dijadikan sebagai landasan </w:t>
      </w:r>
      <w:proofErr w:type="gramStart"/>
      <w:r w:rsidRPr="002D7E9A">
        <w:t>hukum  untuk</w:t>
      </w:r>
      <w:proofErr w:type="gramEnd"/>
      <w:r w:rsidRPr="002D7E9A">
        <w:t xml:space="preserve"> membebankan </w:t>
      </w:r>
      <w:r w:rsidRPr="002D7E9A">
        <w:rPr>
          <w:i/>
        </w:rPr>
        <w:t>criminal liability</w:t>
      </w:r>
      <w:r w:rsidRPr="002D7E9A">
        <w:t xml:space="preserve"> terhadap korporasi, namun Pengadilan Pidana sampai saat ini terkesan enggan untuk mengakui dan mempergunakan peraturan-peraturan tersebut. </w:t>
      </w:r>
      <w:proofErr w:type="gramStart"/>
      <w:r w:rsidRPr="002D7E9A">
        <w:t>Hal ini dapat dilihat dari sedikitnya kasus-kasus kejahatan korporasi di pengadilan dan tentu saja berdampak pada sangat sedikitnya keputusan pengadilan berkaitan dengan kejahatan korporasi.</w:t>
      </w:r>
      <w:proofErr w:type="gramEnd"/>
      <w:r w:rsidRPr="002D7E9A">
        <w:rPr>
          <w:rStyle w:val="FootnoteReference"/>
        </w:rPr>
        <w:footnoteReference w:id="13"/>
      </w:r>
    </w:p>
    <w:p w:rsidR="00380CA5" w:rsidRPr="002D7E9A" w:rsidRDefault="00E53FB2" w:rsidP="002D7E9A">
      <w:pPr>
        <w:pStyle w:val="Default"/>
        <w:spacing w:before="240" w:line="360" w:lineRule="auto"/>
        <w:ind w:left="426"/>
        <w:jc w:val="both"/>
      </w:pPr>
      <w:r w:rsidRPr="002D7E9A">
        <w:t>Setelah korporasi dinyatakan dapat melakukan tindak pidana, permasalahan selanjutnya adalah bagaimana menentukan kesalahan dan pertanggungjawaban korporasi tersebut.Sebab meskipun korporasi dinyatakan dapat melakukan tindak pidana, untuk menjatuhkan sanksi pidana harus dapat ditentukan kesalahannya, dan kesalahan tersebut dapat dipertanggungjawabkan terhadap korporasi tersebut.Apabila kedua syarat ini tidak terpenuhi atau tidak dapat ditentukan, maka korporasi tidak dapat dijatuhi sanksi pidana.</w:t>
      </w:r>
    </w:p>
    <w:p w:rsidR="00380CA5" w:rsidRPr="002D7E9A" w:rsidRDefault="00E53FB2" w:rsidP="002D7E9A">
      <w:pPr>
        <w:pStyle w:val="Default"/>
        <w:spacing w:before="240" w:line="360" w:lineRule="auto"/>
        <w:ind w:left="426"/>
        <w:jc w:val="both"/>
      </w:pPr>
      <w:r w:rsidRPr="002D7E9A">
        <w:t>Sedangkan terhadap pelaku pembakaran hutan oleh kegiatan perusahaan-perusahaan yang bergerak dalam perkebunan atau kecerobohan manusia, ini dapat dijerat dengan Pasal 50 Undang-Undang Nomor 41 Tahun 1999 jo UU Nomor 19 Tahun 2004 tentang Kehutanan, juga melanggar Pasal 11 Peraturan Pemerintah Nomor 4 Tahun 2001 serta Pasal 187 dan Pasal 188 KUHP.</w:t>
      </w:r>
    </w:p>
    <w:p w:rsidR="00380CA5" w:rsidRPr="002D7E9A" w:rsidRDefault="00E53FB2" w:rsidP="002D7E9A">
      <w:pPr>
        <w:pStyle w:val="Default"/>
        <w:spacing w:before="240" w:line="360" w:lineRule="auto"/>
        <w:ind w:left="426"/>
        <w:jc w:val="both"/>
      </w:pPr>
      <w:r w:rsidRPr="002D7E9A">
        <w:lastRenderedPageBreak/>
        <w:t xml:space="preserve">Penyelesaian secara yuridis yang dapat dilakukan oleh pemerintah Indonesia adalah memberikan sanksi terhadap si pelaku pengusaha/investor yang melakukan penebangan disertai </w:t>
      </w:r>
      <w:proofErr w:type="gramStart"/>
      <w:r w:rsidRPr="002D7E9A">
        <w:t>pembakaran  hutan</w:t>
      </w:r>
      <w:proofErr w:type="gramEnd"/>
      <w:r w:rsidRPr="002D7E9A">
        <w:t xml:space="preserve">. Dengan alasan telah melakukan pencemaran lingkungan hidup, yang dapat digolongkan dalam tindak pidana yaitu: a. Suatu bentuk perbuatan yang dilakukan manusia dan/atau badan yang bertentangan dengan aturan didalam hukum perundang-undangan yang berlaku; b. Tindak pidana perusakan yang dilakukan subyek </w:t>
      </w:r>
      <w:r w:rsidR="00380CA5" w:rsidRPr="002D7E9A">
        <w:t xml:space="preserve">hukum </w:t>
      </w:r>
      <w:r w:rsidRPr="002D7E9A">
        <w:t>sebelumnya telah dirumuskan di dala Undang-Undang yang mengandung pidana khusus antara lain ditegaskan bahwa pelakunya dapat dipidana.</w:t>
      </w:r>
    </w:p>
    <w:p w:rsidR="006A4A6C" w:rsidRPr="002D7E9A" w:rsidRDefault="002D7E9A" w:rsidP="002D7E9A">
      <w:pPr>
        <w:pStyle w:val="Default"/>
        <w:spacing w:before="240" w:line="360" w:lineRule="auto"/>
        <w:ind w:left="426"/>
        <w:jc w:val="both"/>
      </w:pPr>
      <w:r>
        <w:t>Selanjutnya P</w:t>
      </w:r>
      <w:r w:rsidR="00E53FB2" w:rsidRPr="002D7E9A">
        <w:t xml:space="preserve">asal-pasal dalam Undang-Undang Nomor 41Tahun 1999 </w:t>
      </w:r>
      <w:proofErr w:type="gramStart"/>
      <w:r w:rsidR="00E53FB2" w:rsidRPr="002D7E9A">
        <w:rPr>
          <w:i/>
        </w:rPr>
        <w:t>jo</w:t>
      </w:r>
      <w:proofErr w:type="gramEnd"/>
      <w:r w:rsidR="00E53FB2" w:rsidRPr="002D7E9A">
        <w:t xml:space="preserve"> Undang-Udang Nomor 19 Tahun 2004 yang dapat dikatagorikan terkait dengan tindak pidana korporasi antara lai</w:t>
      </w:r>
      <w:r>
        <w:t>n dapat dilihat pada: Pasal 50 A</w:t>
      </w:r>
      <w:r w:rsidR="00E53FB2" w:rsidRPr="002D7E9A">
        <w:t xml:space="preserve">yat (1), (2), dan (3) dapat dikatagorikan sebagai tindak pidana korporasi. Hal ini mengingat dalam penjelasan Pasal 50 </w:t>
      </w:r>
      <w:proofErr w:type="gramStart"/>
      <w:r>
        <w:t>A</w:t>
      </w:r>
      <w:r w:rsidR="00E53FB2" w:rsidRPr="002D7E9A">
        <w:t>(</w:t>
      </w:r>
      <w:proofErr w:type="gramEnd"/>
      <w:r w:rsidR="00E53FB2" w:rsidRPr="002D7E9A">
        <w:t xml:space="preserve">1) dirumuskan bahwa yang dimaksud dengan orang adalah subjek hukum baik secara pribadi, badan hukum, maupun badan usaha. Prasarana perlindungan hutan, misalnya pagar-pagar batas kawasan hutan, aliran </w:t>
      </w:r>
      <w:proofErr w:type="gramStart"/>
      <w:r w:rsidR="00E53FB2" w:rsidRPr="002D7E9A">
        <w:t>api</w:t>
      </w:r>
      <w:proofErr w:type="gramEnd"/>
      <w:r w:rsidR="00E53FB2" w:rsidRPr="002D7E9A">
        <w:t xml:space="preserve">, menara pengawas, dan jalan pemeriksaan. </w:t>
      </w:r>
      <w:proofErr w:type="gramStart"/>
      <w:r w:rsidR="00E53FB2" w:rsidRPr="002D7E9A">
        <w:t>Sarana perlindungan hutan misalnya alat pemadan kebakaran, tanda tangan dan alat angkut.</w:t>
      </w:r>
      <w:proofErr w:type="gramEnd"/>
      <w:r>
        <w:t xml:space="preserve"> Dengan demikian pada Pasal 50 A</w:t>
      </w:r>
      <w:r w:rsidR="00E53FB2" w:rsidRPr="002D7E9A">
        <w:t>yat (1), (2), dan (3), bisa dikatagorikan tindak pidana korporasi, jika setiap orang yang dimaksud dalam pasal tersebut itu menunjuk subjek hukum pelaku adalah badan hukum atau badan usaha sep</w:t>
      </w:r>
      <w:r>
        <w:t>erti dalam penjelasan Pasal 50 A</w:t>
      </w:r>
      <w:r w:rsidR="00E53FB2" w:rsidRPr="002D7E9A">
        <w:t xml:space="preserve">yat (1). </w:t>
      </w:r>
      <w:r w:rsidR="00E53FB2" w:rsidRPr="002D7E9A">
        <w:rPr>
          <w:rStyle w:val="FootnoteReference"/>
        </w:rPr>
        <w:footnoteReference w:id="14"/>
      </w:r>
    </w:p>
    <w:p w:rsidR="006A4A6C" w:rsidRPr="002D7E9A" w:rsidRDefault="002D7E9A" w:rsidP="002D7E9A">
      <w:pPr>
        <w:pStyle w:val="Default"/>
        <w:spacing w:before="240" w:line="360" w:lineRule="auto"/>
        <w:ind w:left="426"/>
        <w:jc w:val="both"/>
      </w:pPr>
      <w:proofErr w:type="gramStart"/>
      <w:r>
        <w:t>Sedangkan untuk Pasal 50 A</w:t>
      </w:r>
      <w:r w:rsidR="00E53FB2" w:rsidRPr="002D7E9A">
        <w:t>yat (4), termasuk tindak pidana biasa.</w:t>
      </w:r>
      <w:proofErr w:type="gramEnd"/>
      <w:r w:rsidR="00E53FB2" w:rsidRPr="002D7E9A">
        <w:t xml:space="preserve"> Perkembangan pertanggungjawaban pidana di Indonesia, ternyata yang dapat dipertanggungjawabkan </w:t>
      </w:r>
      <w:proofErr w:type="gramStart"/>
      <w:r w:rsidR="00E53FB2" w:rsidRPr="002D7E9A">
        <w:t>tidak  hanya</w:t>
      </w:r>
      <w:proofErr w:type="gramEnd"/>
      <w:r w:rsidR="00E53FB2" w:rsidRPr="002D7E9A">
        <w:t xml:space="preserve"> manusia, tetapi juga korporasi. Khusus mengenai pertanggungjawaban korporasi dalam hukum pidana, ternyata terdapat bermacam-macam cara perumusannya </w:t>
      </w:r>
      <w:proofErr w:type="gramStart"/>
      <w:r w:rsidR="00E53FB2" w:rsidRPr="002D7E9A">
        <w:t>yang  ditempuh</w:t>
      </w:r>
      <w:proofErr w:type="gramEnd"/>
      <w:r w:rsidR="00E53FB2" w:rsidRPr="002D7E9A">
        <w:t xml:space="preserve"> oleh pembuat </w:t>
      </w:r>
      <w:r w:rsidR="00E53FB2" w:rsidRPr="002D7E9A">
        <w:lastRenderedPageBreak/>
        <w:t xml:space="preserve">Undang-Undang. </w:t>
      </w:r>
      <w:proofErr w:type="gramStart"/>
      <w:r w:rsidR="00E53FB2" w:rsidRPr="002D7E9A">
        <w:t>Ada 3 (tiga) sistem kedudukan korporasi dalam hukum pidana yakni: 1) Pengurus korporasi sebagai pembuat dan pengurus yang bertanggungjawab; 2) Korporasi sebagai pembuat dan pengurus yang bertanggungjawab; 3) Korporasi sebagai pembuat dan yang bertanggunjawab.</w:t>
      </w:r>
      <w:proofErr w:type="gramEnd"/>
      <w:r w:rsidR="00E53FB2" w:rsidRPr="002D7E9A">
        <w:t xml:space="preserve">  Dalam  Undang-Undang  Nomor  41  Tahun  1999  </w:t>
      </w:r>
      <w:r w:rsidR="00E53FB2" w:rsidRPr="002D7E9A">
        <w:rPr>
          <w:i/>
        </w:rPr>
        <w:t>jo</w:t>
      </w:r>
      <w:r w:rsidR="00E53FB2" w:rsidRPr="002D7E9A">
        <w:t xml:space="preserve"> Undang-Undang Nomor 19 Tahun 2004,  pertanggujawaban  tindak pidana korporasi terdapat </w:t>
      </w:r>
      <w:r w:rsidR="00340F01">
        <w:t>pada Pasal 78 A</w:t>
      </w:r>
      <w:r w:rsidR="00E53FB2" w:rsidRPr="002D7E9A">
        <w:t>ngka (14) yang dirumuskansebagai berikut: “Tindak pidana sebagaimana dimaksud dalam Pa</w:t>
      </w:r>
      <w:r w:rsidR="00340F01">
        <w:t>sal 50 Ayat (1), Ayat (2), dan A</w:t>
      </w:r>
      <w:r w:rsidR="00E53FB2" w:rsidRPr="002D7E9A">
        <w:t xml:space="preserve">yat (3) apabila dilakukan oleh dan atau atas nama badan hukum atau badan usaha, tuntutan dan sanksi pidananya  dijatuhkan  terhadap  pengurusnya, baik sendiri-sendiri maupun  bersama-sama,  dikenakan  pidana  sesuai  dengan  ancaman pidana  masing-masing  ditambah  dengan  1/3  (sepertiga)  dari  pidana yang  dijatuhkan”.Tanggung  jawab  korporasi  pada  Undang-Undang Nomor  19  Tahun 2004, apabila  tindak  pidana  yang  dilakukan  oleh dan atau atas nama badan hukum atau badan usaha, yang bertanggujawab adalah pengurusnya, baik sendiri-sendiri  maupun bersama-sama, Ini maksudnya dapat ditafsirkan bahwa pengurus atas nama pribadi atau sendiri dapat </w:t>
      </w:r>
      <w:r w:rsidR="00E53FB2" w:rsidRPr="002D7E9A">
        <w:rPr>
          <w:color w:val="auto"/>
        </w:rPr>
        <w:t>diminta m</w:t>
      </w:r>
      <w:r w:rsidR="00E53FB2" w:rsidRPr="002D7E9A">
        <w:t>pertanggungjwaban atau pengurus yang melakukan secara bersama-sama bisa diminta pertangggujawaban.</w:t>
      </w:r>
      <w:r w:rsidR="00E53FB2" w:rsidRPr="002D7E9A">
        <w:rPr>
          <w:rStyle w:val="FootnoteReference"/>
        </w:rPr>
        <w:footnoteReference w:id="15"/>
      </w:r>
    </w:p>
    <w:p w:rsidR="006A4A6C" w:rsidRPr="002D7E9A" w:rsidRDefault="00E53FB2" w:rsidP="002D7E9A">
      <w:pPr>
        <w:pStyle w:val="Default"/>
        <w:spacing w:before="240" w:line="360" w:lineRule="auto"/>
        <w:ind w:left="426"/>
        <w:jc w:val="both"/>
      </w:pPr>
      <w:proofErr w:type="gramStart"/>
      <w:r w:rsidRPr="002D7E9A">
        <w:t>Dengan demikian bukan badan hukum yang bisa diminta pertanggujawaban dalam tindak pidana korporasi ini, hanya pada pengurus dari badan hukum yang bisa diminta pertanggungjw</w:t>
      </w:r>
      <w:r w:rsidR="00340F01">
        <w:t>aban.</w:t>
      </w:r>
      <w:proofErr w:type="gramEnd"/>
      <w:r w:rsidR="00340F01">
        <w:t xml:space="preserve"> Dengan demikian Pasal 50 A</w:t>
      </w:r>
      <w:r w:rsidRPr="002D7E9A">
        <w:t xml:space="preserve">yat (1), (2), dan (3), Undang-Undang Nomor 41 Tahun 1999 </w:t>
      </w:r>
      <w:proofErr w:type="gramStart"/>
      <w:r w:rsidRPr="002D7E9A">
        <w:rPr>
          <w:i/>
        </w:rPr>
        <w:t>jo</w:t>
      </w:r>
      <w:proofErr w:type="gramEnd"/>
      <w:r w:rsidRPr="002D7E9A">
        <w:t xml:space="preserve"> Undang-Undang Nomor 19 Tahun 2004, dapat dikategorikan sebagai tindak pidana korporasi. </w:t>
      </w:r>
      <w:proofErr w:type="gramStart"/>
      <w:r w:rsidRPr="002D7E9A">
        <w:t>Hal ini mengi</w:t>
      </w:r>
      <w:r w:rsidR="00340F01">
        <w:t>ngat dalam penjelasan Pasal 50 A</w:t>
      </w:r>
      <w:r w:rsidRPr="002D7E9A">
        <w:t>yat (1) dirumuskan bahwa yang dimaksud dengan orang adalah subjek hukum baik secara pribadi, badan hukum, maupun badan usaha.</w:t>
      </w:r>
      <w:proofErr w:type="gramEnd"/>
      <w:r w:rsidRPr="002D7E9A">
        <w:rPr>
          <w:rStyle w:val="FootnoteReference"/>
        </w:rPr>
        <w:footnoteReference w:id="16"/>
      </w:r>
      <w:r w:rsidRPr="002D7E9A">
        <w:t xml:space="preserve"> Tanggungjawab korporasi pada Undang-</w:t>
      </w:r>
      <w:r w:rsidRPr="002D7E9A">
        <w:lastRenderedPageBreak/>
        <w:t xml:space="preserve">Undang </w:t>
      </w:r>
      <w:proofErr w:type="gramStart"/>
      <w:r w:rsidRPr="002D7E9A">
        <w:t>Nomor  41</w:t>
      </w:r>
      <w:proofErr w:type="gramEnd"/>
      <w:r w:rsidRPr="002D7E9A">
        <w:t xml:space="preserve"> Tahun 1999 </w:t>
      </w:r>
      <w:r w:rsidRPr="002D7E9A">
        <w:rPr>
          <w:i/>
        </w:rPr>
        <w:t>jo</w:t>
      </w:r>
      <w:r w:rsidRPr="002D7E9A">
        <w:t xml:space="preserve"> Undang-Undang Nomor 19 Tahun 2004, apabila tindak pidana yang dilakukan oleh dan atau atas nama badan hukum atau badan usaha, yang bertanggungjawab adalah pengurusnya, baik sendiri-sendiri maupun bersama-sama. </w:t>
      </w:r>
      <w:proofErr w:type="gramStart"/>
      <w:r w:rsidRPr="002D7E9A">
        <w:t>Dalam Undang-Undang Nomor 19 Tahun 2004.Secara tersurat tidak ditemukan yang menyatakan korporasi sebagai subjek tindak pidana.</w:t>
      </w:r>
      <w:proofErr w:type="gramEnd"/>
      <w:r w:rsidRPr="002D7E9A">
        <w:t xml:space="preserve"> Oleh karena itu, penuntutan dapat menggunakan ketentuan pidana dalam peraturan yang berhubungan dengan lingkungan hidup seperti Ordonansi Ganguan  Stb. Nomor 226 yang dirubah dengan Stb. 449 Tahun 1927 dengan konsekuensi ancaman pidana sangat ringan.</w:t>
      </w:r>
    </w:p>
    <w:p w:rsidR="006A4A6C" w:rsidRPr="002D7E9A" w:rsidRDefault="00E53FB2" w:rsidP="002D7E9A">
      <w:pPr>
        <w:pStyle w:val="Default"/>
        <w:spacing w:before="240" w:after="240" w:line="360" w:lineRule="auto"/>
        <w:ind w:left="426"/>
        <w:jc w:val="both"/>
      </w:pPr>
      <w:r w:rsidRPr="002D7E9A">
        <w:t>Untuk masalah sanksi pidana, bahwa: 1) Badan hukum dapat dikenakan sanksi pidana dalam perkara kerusakan atau pencemaran lingkungan; 2) Delik lingkungan perlu dirumuskan dalam pengertian yang terkandung dalam Undang-Undang lingkungan hidup guna memudahkan penyelesaian perkara di pengadilan; 3) Ketentuan pidana dalam berbagai peraturan perundang-undangan lingkungan perlu ditinjau kembali dan disesuaikan dengan pasal 22 Undang-Undang Lingkungan Hidup; 4) Keberhasilan pengelolaan lingkungan hidup secara terpadu memerlukan kerjasama yang serasi antara badan legislatif, eksekutif dan yudikatif.</w:t>
      </w:r>
      <w:r w:rsidRPr="002D7E9A">
        <w:rPr>
          <w:rStyle w:val="FootnoteReference"/>
        </w:rPr>
        <w:footnoteReference w:id="17"/>
      </w:r>
      <w:r w:rsidRPr="002D7E9A">
        <w:t xml:space="preserve"> Hubungannya dengan sanksi pidana, tindak pidana korporasi pada Undang-Undang Nomor 19 Tahun 2004 pada: </w:t>
      </w:r>
      <w:r w:rsidR="00340F01">
        <w:t>Pasal 78. Dari sanksi Pasal 78 A</w:t>
      </w:r>
      <w:r w:rsidRPr="002D7E9A">
        <w:t>ngka (14) Undang-Undang Nomor 19 Tahun 2004, yang dapat dikategorikan dalam sanksi tindak pidana korporasi di bidang kehutanan, seme</w:t>
      </w:r>
      <w:r w:rsidR="00340F01">
        <w:t>ntara yang lain yakni Pasal 78 A</w:t>
      </w:r>
      <w:r w:rsidRPr="002D7E9A">
        <w:t>ngaka 1-13 dan 15 termasuk dalam pasal</w:t>
      </w:r>
      <w:r w:rsidR="00340F01">
        <w:t xml:space="preserve"> tindak pidana biasa. Pasal 78 A</w:t>
      </w:r>
      <w:r w:rsidRPr="002D7E9A">
        <w:t>ngka 14 dirumuskan bahwa tindak pidana sebag</w:t>
      </w:r>
      <w:r w:rsidR="00340F01">
        <w:t>aimana dimaksud dalam Pasal 50 Ayat (1), Ayat (2), dan A</w:t>
      </w:r>
      <w:r w:rsidRPr="002D7E9A">
        <w:t xml:space="preserve">yat (3) apabila dilakukan oleh dan atau atas nama badan hukum atau badan usaha, tuntutan dan sanksi pidananya dijatuhkan terhadap pengurusnya, baik sendiri-sendiri maupun bersama-sama, dikenakan pidana sesuai dengan ancaman pidana masing-masing ditambah dengan 1/3 </w:t>
      </w:r>
      <w:r w:rsidRPr="002D7E9A">
        <w:lastRenderedPageBreak/>
        <w:t>(sepertiga) dari pidana yang dijatuhkan.</w:t>
      </w:r>
      <w:r w:rsidRPr="002D7E9A">
        <w:rPr>
          <w:rStyle w:val="FootnoteReference"/>
        </w:rPr>
        <w:footnoteReference w:id="18"/>
      </w:r>
      <w:r w:rsidRPr="002D7E9A">
        <w:t xml:space="preserve"> Dengan demikian, apabila pelakunya badan hukum atau badan usaha, maka </w:t>
      </w:r>
      <w:r w:rsidR="00340F01">
        <w:t>sanksi pidana seperti pasal 50 A</w:t>
      </w:r>
      <w:r w:rsidRPr="002D7E9A">
        <w:t xml:space="preserve">yat (1), (2) dan (3), diancam dengan pidana penjara </w:t>
      </w:r>
      <w:proofErr w:type="gramStart"/>
      <w:r w:rsidRPr="002D7E9A">
        <w:t>paling  lama</w:t>
      </w:r>
      <w:proofErr w:type="gramEnd"/>
      <w:r w:rsidRPr="002D7E9A">
        <w:t xml:space="preserve"> 10 (sepuluh) tahun dan denda paling banyak Rp.5.000.000.000,- (lima milyar rupiah) dan ditambah 1/3 (sepertiga) dari pidana yang dijatuhkan. Kedepan, dalam penegakan hukum   untuk kasus-kasus pembakaran hutan, aparat penegak hukum harus lebih tegas dan berani menerapkan pasal-pasal korporasi yang sudah ada pada Undang-Undang Nomor 41 Tahun   1999 </w:t>
      </w:r>
      <w:proofErr w:type="gramStart"/>
      <w:r w:rsidRPr="002D7E9A">
        <w:rPr>
          <w:i/>
        </w:rPr>
        <w:t>jo</w:t>
      </w:r>
      <w:proofErr w:type="gramEnd"/>
      <w:r w:rsidRPr="002D7E9A">
        <w:t xml:space="preserve"> Undang-Undang Nomor 19 Tahun 2004.</w:t>
      </w:r>
    </w:p>
    <w:p w:rsidR="00E6362D" w:rsidRPr="002D7E9A" w:rsidRDefault="00844B45" w:rsidP="002D7E9A">
      <w:pPr>
        <w:pStyle w:val="ListParagraph"/>
        <w:numPr>
          <w:ilvl w:val="0"/>
          <w:numId w:val="7"/>
        </w:numPr>
        <w:rPr>
          <w:rFonts w:ascii="Times New Roman" w:hAnsi="Times New Roman" w:cs="Times New Roman"/>
          <w:b/>
          <w:sz w:val="24"/>
          <w:szCs w:val="24"/>
        </w:rPr>
      </w:pPr>
      <w:r w:rsidRPr="002D7E9A">
        <w:rPr>
          <w:rFonts w:ascii="Times New Roman" w:hAnsi="Times New Roman" w:cs="Times New Roman"/>
          <w:b/>
          <w:sz w:val="24"/>
          <w:szCs w:val="24"/>
        </w:rPr>
        <w:t>CONCLUSION</w:t>
      </w:r>
    </w:p>
    <w:p w:rsidR="00D5724A" w:rsidRPr="002D7E9A" w:rsidRDefault="00D5724A" w:rsidP="002D7E9A">
      <w:pPr>
        <w:pStyle w:val="Default"/>
        <w:numPr>
          <w:ilvl w:val="0"/>
          <w:numId w:val="14"/>
        </w:numPr>
        <w:spacing w:before="240" w:line="360" w:lineRule="auto"/>
        <w:ind w:left="426"/>
        <w:jc w:val="both"/>
      </w:pPr>
      <w:r w:rsidRPr="002D7E9A">
        <w:t>Bentuk pertanggungjawaban pidana korporasi dalam tindak pidana kebakaran hutan dan lahan adalah Identifikasi. Karena kesalahan terdapat pada pengurus korporasi (direktur) yang menjadi otak atau pemegang control operasional korporasi (</w:t>
      </w:r>
      <w:r w:rsidRPr="002D7E9A">
        <w:rPr>
          <w:i/>
        </w:rPr>
        <w:t>Directing Mind</w:t>
      </w:r>
      <w:r w:rsidRPr="002D7E9A">
        <w:t>).</w:t>
      </w:r>
    </w:p>
    <w:p w:rsidR="00340F01" w:rsidRPr="002D7E9A" w:rsidRDefault="00D5724A" w:rsidP="00340F01">
      <w:pPr>
        <w:pStyle w:val="Default"/>
        <w:numPr>
          <w:ilvl w:val="0"/>
          <w:numId w:val="14"/>
        </w:numPr>
        <w:spacing w:before="240" w:line="360" w:lineRule="auto"/>
        <w:ind w:left="426"/>
        <w:jc w:val="both"/>
      </w:pPr>
      <w:r w:rsidRPr="002D7E9A">
        <w:t>Implementasi Pertanggungjawaban Pidana Korporasi Pembakaran Hutan perlu dilakukannya suatu langkah konkrit dalam penyelesaian masalah tersebut, salah satunya ialah berupa tindakan penegakan hukum yang tegas terutama dalam implementasi pertanggungjawaban pidana korporasi pembakaran hutan dan lahan yang dilakukan oleh korporasi oleh karena itu aparat penegak hukum yang diharapkan mampu untuk menghukum pelaku pembakaran hutan dan lahan tersebut.</w:t>
      </w:r>
    </w:p>
    <w:p w:rsidR="00844B45" w:rsidRPr="00340F01" w:rsidRDefault="00844B45" w:rsidP="002D7E9A">
      <w:pPr>
        <w:pStyle w:val="Default"/>
        <w:spacing w:before="240" w:after="240" w:line="360" w:lineRule="auto"/>
        <w:jc w:val="both"/>
        <w:rPr>
          <w:b/>
        </w:rPr>
      </w:pPr>
      <w:r w:rsidRPr="00340F01">
        <w:rPr>
          <w:b/>
        </w:rPr>
        <w:t>REFERENCE</w:t>
      </w:r>
    </w:p>
    <w:p w:rsidR="00844B45" w:rsidRPr="002D7E9A" w:rsidRDefault="00844B45" w:rsidP="002D7E9A">
      <w:pPr>
        <w:pStyle w:val="Default"/>
        <w:numPr>
          <w:ilvl w:val="0"/>
          <w:numId w:val="18"/>
        </w:numPr>
        <w:spacing w:line="360" w:lineRule="auto"/>
        <w:ind w:left="426" w:hanging="426"/>
        <w:jc w:val="both"/>
        <w:rPr>
          <w:b/>
        </w:rPr>
      </w:pPr>
      <w:r w:rsidRPr="002D7E9A">
        <w:t xml:space="preserve">Setiawan, Guntur.  </w:t>
      </w:r>
      <w:r w:rsidRPr="002D7E9A">
        <w:rPr>
          <w:i/>
        </w:rPr>
        <w:t>Impelemtasi dalam Birokrasi Pembangunan</w:t>
      </w:r>
      <w:r w:rsidRPr="002D7E9A">
        <w:t xml:space="preserve"> (Jakarta: 2004).</w:t>
      </w:r>
    </w:p>
    <w:p w:rsidR="00844B45" w:rsidRPr="002D7E9A" w:rsidRDefault="00844B45" w:rsidP="002D7E9A">
      <w:pPr>
        <w:pStyle w:val="Default"/>
        <w:numPr>
          <w:ilvl w:val="0"/>
          <w:numId w:val="18"/>
        </w:numPr>
        <w:spacing w:line="360" w:lineRule="auto"/>
        <w:ind w:left="426" w:hanging="426"/>
        <w:jc w:val="both"/>
        <w:rPr>
          <w:b/>
        </w:rPr>
      </w:pPr>
      <w:r w:rsidRPr="002D7E9A">
        <w:t xml:space="preserve">Muladi, dan Dwidja Priyanto. </w:t>
      </w:r>
      <w:r w:rsidRPr="002D7E9A">
        <w:rPr>
          <w:i/>
        </w:rPr>
        <w:t>Pertanggungjawaban Pidana Korporasi</w:t>
      </w:r>
      <w:r w:rsidRPr="002D7E9A">
        <w:t>(Jakarta: 2010)</w:t>
      </w:r>
    </w:p>
    <w:p w:rsidR="00844B45" w:rsidRPr="002D7E9A" w:rsidRDefault="00844B45" w:rsidP="002D7E9A">
      <w:pPr>
        <w:pStyle w:val="Default"/>
        <w:numPr>
          <w:ilvl w:val="0"/>
          <w:numId w:val="18"/>
        </w:numPr>
        <w:spacing w:line="360" w:lineRule="auto"/>
        <w:ind w:left="426" w:hanging="426"/>
        <w:jc w:val="both"/>
        <w:rPr>
          <w:b/>
        </w:rPr>
      </w:pPr>
      <w:r w:rsidRPr="002D7E9A">
        <w:lastRenderedPageBreak/>
        <w:t xml:space="preserve">Barda Nawawi Arief. </w:t>
      </w:r>
      <w:r w:rsidRPr="002D7E9A">
        <w:rPr>
          <w:i/>
        </w:rPr>
        <w:t>Bunga Rampai Hukum Pidana</w:t>
      </w:r>
      <w:r w:rsidRPr="002D7E9A">
        <w:t xml:space="preserve"> (Bandung: 1996)</w:t>
      </w:r>
    </w:p>
    <w:p w:rsidR="00844B45" w:rsidRPr="002D7E9A" w:rsidRDefault="00844B45" w:rsidP="002D7E9A">
      <w:pPr>
        <w:pStyle w:val="Default"/>
        <w:numPr>
          <w:ilvl w:val="0"/>
          <w:numId w:val="18"/>
        </w:numPr>
        <w:spacing w:line="360" w:lineRule="auto"/>
        <w:ind w:left="426" w:hanging="426"/>
        <w:jc w:val="both"/>
        <w:rPr>
          <w:b/>
        </w:rPr>
      </w:pPr>
      <w:r w:rsidRPr="002D7E9A">
        <w:t xml:space="preserve">Hanafi, dan Mahrus. </w:t>
      </w:r>
      <w:r w:rsidRPr="002D7E9A">
        <w:rPr>
          <w:i/>
        </w:rPr>
        <w:t>Sistem Pertanggung Jawaban Pidana, Cetakan pertama</w:t>
      </w:r>
      <w:r w:rsidRPr="002D7E9A">
        <w:t xml:space="preserve"> (Jakarta: 2015)</w:t>
      </w:r>
    </w:p>
    <w:p w:rsidR="00844B45" w:rsidRPr="002D7E9A" w:rsidRDefault="00844B45" w:rsidP="002D7E9A">
      <w:pPr>
        <w:pStyle w:val="Default"/>
        <w:numPr>
          <w:ilvl w:val="0"/>
          <w:numId w:val="18"/>
        </w:numPr>
        <w:spacing w:line="360" w:lineRule="auto"/>
        <w:ind w:left="426" w:hanging="426"/>
        <w:jc w:val="both"/>
        <w:rPr>
          <w:b/>
        </w:rPr>
      </w:pPr>
      <w:r w:rsidRPr="002D7E9A">
        <w:t xml:space="preserve">John M. Echols dan Hassan Shadily. </w:t>
      </w:r>
      <w:r w:rsidRPr="002D7E9A">
        <w:rPr>
          <w:i/>
          <w:iCs/>
        </w:rPr>
        <w:t>Kamus Inggris – Indonesia</w:t>
      </w:r>
      <w:r w:rsidRPr="002D7E9A">
        <w:t xml:space="preserve"> (Jakarta: 1985)</w:t>
      </w:r>
    </w:p>
    <w:p w:rsidR="00844B45" w:rsidRPr="002D7E9A" w:rsidRDefault="00844B45" w:rsidP="002D7E9A">
      <w:pPr>
        <w:pStyle w:val="Default"/>
        <w:numPr>
          <w:ilvl w:val="0"/>
          <w:numId w:val="18"/>
        </w:numPr>
        <w:spacing w:line="360" w:lineRule="auto"/>
        <w:ind w:left="426" w:hanging="426"/>
        <w:jc w:val="both"/>
        <w:rPr>
          <w:b/>
        </w:rPr>
      </w:pPr>
      <w:r w:rsidRPr="002D7E9A">
        <w:t xml:space="preserve">Abdulkadir Muhammad.  </w:t>
      </w:r>
      <w:r w:rsidRPr="002D7E9A">
        <w:rPr>
          <w:i/>
          <w:iCs/>
        </w:rPr>
        <w:t>Hukum Perusahaan Indonesia</w:t>
      </w:r>
      <w:r w:rsidRPr="002D7E9A">
        <w:t xml:space="preserve"> (Bandung: 1999)</w:t>
      </w:r>
    </w:p>
    <w:p w:rsidR="00844B45" w:rsidRPr="002D7E9A" w:rsidRDefault="00844B45" w:rsidP="002D7E9A">
      <w:pPr>
        <w:pStyle w:val="Default"/>
        <w:numPr>
          <w:ilvl w:val="0"/>
          <w:numId w:val="18"/>
        </w:numPr>
        <w:spacing w:line="360" w:lineRule="auto"/>
        <w:ind w:left="426" w:hanging="426"/>
        <w:jc w:val="both"/>
        <w:rPr>
          <w:b/>
        </w:rPr>
      </w:pPr>
      <w:r w:rsidRPr="002D7E9A">
        <w:t xml:space="preserve">I.S. Susanto.  </w:t>
      </w:r>
      <w:r w:rsidRPr="002D7E9A">
        <w:rPr>
          <w:i/>
          <w:iCs/>
        </w:rPr>
        <w:t>Kejahatan Korporasi</w:t>
      </w:r>
      <w:r w:rsidRPr="002D7E9A">
        <w:t xml:space="preserve"> (Semarang: 1995)</w:t>
      </w:r>
    </w:p>
    <w:p w:rsidR="00844B45" w:rsidRPr="002D7E9A" w:rsidRDefault="00844B45" w:rsidP="002D7E9A">
      <w:pPr>
        <w:pStyle w:val="Default"/>
        <w:numPr>
          <w:ilvl w:val="0"/>
          <w:numId w:val="18"/>
        </w:numPr>
        <w:spacing w:line="360" w:lineRule="auto"/>
        <w:ind w:left="426" w:hanging="426"/>
        <w:jc w:val="both"/>
        <w:rPr>
          <w:b/>
        </w:rPr>
      </w:pPr>
      <w:r w:rsidRPr="002D7E9A">
        <w:t xml:space="preserve">Edward Alsworth Ross. </w:t>
      </w:r>
      <w:r w:rsidRPr="002D7E9A">
        <w:rPr>
          <w:i/>
          <w:iCs/>
        </w:rPr>
        <w:t xml:space="preserve">The Criminaloid </w:t>
      </w:r>
      <w:r w:rsidRPr="002D7E9A">
        <w:rPr>
          <w:iCs/>
        </w:rPr>
        <w:t>(</w:t>
      </w:r>
      <w:r w:rsidRPr="002D7E9A">
        <w:t xml:space="preserve">New York:1977) </w:t>
      </w:r>
    </w:p>
    <w:p w:rsidR="00844B45" w:rsidRPr="002D7E9A" w:rsidRDefault="00844B45" w:rsidP="002D7E9A">
      <w:pPr>
        <w:pStyle w:val="Default"/>
        <w:numPr>
          <w:ilvl w:val="0"/>
          <w:numId w:val="18"/>
        </w:numPr>
        <w:spacing w:line="360" w:lineRule="auto"/>
        <w:ind w:left="426" w:hanging="426"/>
        <w:jc w:val="both"/>
        <w:rPr>
          <w:b/>
        </w:rPr>
      </w:pPr>
      <w:r w:rsidRPr="002D7E9A">
        <w:t xml:space="preserve">Marshall Clinard &amp; Peter C. Yeager. </w:t>
      </w:r>
      <w:r w:rsidRPr="002D7E9A">
        <w:rPr>
          <w:i/>
          <w:iCs/>
        </w:rPr>
        <w:t>Corporate Crime</w:t>
      </w:r>
      <w:r w:rsidRPr="002D7E9A">
        <w:t xml:space="preserve"> (New York: 1980) </w:t>
      </w:r>
    </w:p>
    <w:p w:rsidR="00844B45" w:rsidRPr="002D7E9A" w:rsidRDefault="00844B45" w:rsidP="002D7E9A">
      <w:pPr>
        <w:pStyle w:val="Default"/>
        <w:numPr>
          <w:ilvl w:val="0"/>
          <w:numId w:val="18"/>
        </w:numPr>
        <w:spacing w:line="360" w:lineRule="auto"/>
        <w:ind w:left="426" w:hanging="426"/>
        <w:jc w:val="both"/>
        <w:rPr>
          <w:b/>
        </w:rPr>
      </w:pPr>
      <w:r w:rsidRPr="002D7E9A">
        <w:t xml:space="preserve">Gilbert Geis &amp; Robert F. Meier. </w:t>
      </w:r>
      <w:r w:rsidRPr="002D7E9A">
        <w:rPr>
          <w:i/>
          <w:iCs/>
        </w:rPr>
        <w:t>White Collar Crime</w:t>
      </w:r>
      <w:r w:rsidRPr="002D7E9A">
        <w:t xml:space="preserve"> (New York: 1977)  </w:t>
      </w:r>
    </w:p>
    <w:p w:rsidR="00844B45" w:rsidRPr="002D7E9A" w:rsidRDefault="00844B45" w:rsidP="002D7E9A">
      <w:pPr>
        <w:pStyle w:val="Default"/>
        <w:numPr>
          <w:ilvl w:val="0"/>
          <w:numId w:val="18"/>
        </w:numPr>
        <w:spacing w:line="360" w:lineRule="auto"/>
        <w:ind w:left="426" w:hanging="426"/>
        <w:jc w:val="both"/>
        <w:rPr>
          <w:b/>
        </w:rPr>
      </w:pPr>
      <w:r w:rsidRPr="002D7E9A">
        <w:t xml:space="preserve">Steven Box.  </w:t>
      </w:r>
      <w:r w:rsidRPr="002D7E9A">
        <w:rPr>
          <w:i/>
          <w:iCs/>
        </w:rPr>
        <w:t>Power, Crime, and Mystification</w:t>
      </w:r>
      <w:r w:rsidRPr="002D7E9A">
        <w:t xml:space="preserve"> (London, 1983)</w:t>
      </w:r>
    </w:p>
    <w:p w:rsidR="00844B45" w:rsidRPr="002D7E9A" w:rsidRDefault="00844B45" w:rsidP="002D7E9A">
      <w:pPr>
        <w:pStyle w:val="Default"/>
        <w:numPr>
          <w:ilvl w:val="0"/>
          <w:numId w:val="18"/>
        </w:numPr>
        <w:spacing w:line="360" w:lineRule="auto"/>
        <w:ind w:left="426" w:hanging="426"/>
        <w:jc w:val="both"/>
        <w:rPr>
          <w:b/>
        </w:rPr>
      </w:pPr>
      <w:r w:rsidRPr="002D7E9A">
        <w:t xml:space="preserve">Michael Bohler. </w:t>
      </w:r>
      <w:r w:rsidRPr="002D7E9A">
        <w:rPr>
          <w:i/>
          <w:iCs/>
        </w:rPr>
        <w:t>Principle of German Criminal Law</w:t>
      </w:r>
      <w:r w:rsidRPr="002D7E9A">
        <w:t xml:space="preserve"> (Oxford: 2002)</w:t>
      </w:r>
    </w:p>
    <w:p w:rsidR="00844B45" w:rsidRPr="002D7E9A" w:rsidRDefault="00844B45" w:rsidP="002D7E9A">
      <w:pPr>
        <w:pStyle w:val="Default"/>
        <w:numPr>
          <w:ilvl w:val="0"/>
          <w:numId w:val="18"/>
        </w:numPr>
        <w:spacing w:line="360" w:lineRule="auto"/>
        <w:ind w:left="426" w:hanging="426"/>
        <w:jc w:val="both"/>
        <w:rPr>
          <w:b/>
        </w:rPr>
      </w:pPr>
      <w:r w:rsidRPr="002D7E9A">
        <w:t xml:space="preserve">Oemar Seno Adji. </w:t>
      </w:r>
      <w:r w:rsidRPr="002D7E9A">
        <w:rPr>
          <w:i/>
          <w:iCs/>
        </w:rPr>
        <w:t>Hukum Pidana Pengembangan</w:t>
      </w:r>
      <w:r w:rsidRPr="002D7E9A">
        <w:t xml:space="preserve"> (Jakarta: 1985)</w:t>
      </w:r>
    </w:p>
    <w:p w:rsidR="00844B45" w:rsidRPr="002D7E9A" w:rsidRDefault="00844B45" w:rsidP="002D7E9A">
      <w:pPr>
        <w:pStyle w:val="Default"/>
        <w:numPr>
          <w:ilvl w:val="0"/>
          <w:numId w:val="18"/>
        </w:numPr>
        <w:spacing w:line="360" w:lineRule="auto"/>
        <w:ind w:left="426" w:hanging="426"/>
        <w:jc w:val="both"/>
        <w:rPr>
          <w:b/>
        </w:rPr>
      </w:pPr>
      <w:r w:rsidRPr="002D7E9A">
        <w:t xml:space="preserve">Muladi, Dwidja Priyatno. </w:t>
      </w:r>
      <w:r w:rsidRPr="002D7E9A">
        <w:rPr>
          <w:i/>
        </w:rPr>
        <w:t>Pertanggungjawaban Pidana Korporasi</w:t>
      </w:r>
      <w:r w:rsidRPr="002D7E9A">
        <w:t xml:space="preserve"> (Jakarta: 2011)</w:t>
      </w:r>
    </w:p>
    <w:p w:rsidR="00844B45" w:rsidRPr="002D7E9A" w:rsidRDefault="00844B45" w:rsidP="002D7E9A">
      <w:pPr>
        <w:pStyle w:val="Default"/>
        <w:numPr>
          <w:ilvl w:val="0"/>
          <w:numId w:val="18"/>
        </w:numPr>
        <w:spacing w:line="360" w:lineRule="auto"/>
        <w:ind w:left="426" w:hanging="426"/>
        <w:jc w:val="both"/>
        <w:rPr>
          <w:b/>
        </w:rPr>
      </w:pPr>
      <w:r w:rsidRPr="002D7E9A">
        <w:t xml:space="preserve">Mahrus Ali. </w:t>
      </w:r>
      <w:r w:rsidRPr="002D7E9A">
        <w:rPr>
          <w:i/>
          <w:iCs/>
        </w:rPr>
        <w:t>Asas-Asas</w:t>
      </w:r>
      <w:r w:rsidRPr="002D7E9A">
        <w:t xml:space="preserve"> (Jakarta: 2015)</w:t>
      </w:r>
    </w:p>
    <w:p w:rsidR="00844B45" w:rsidRPr="002D7E9A" w:rsidRDefault="00844B45" w:rsidP="002D7E9A">
      <w:pPr>
        <w:pStyle w:val="Default"/>
        <w:numPr>
          <w:ilvl w:val="0"/>
          <w:numId w:val="18"/>
        </w:numPr>
        <w:spacing w:line="360" w:lineRule="auto"/>
        <w:ind w:left="426" w:hanging="426"/>
        <w:jc w:val="both"/>
        <w:rPr>
          <w:b/>
        </w:rPr>
      </w:pPr>
      <w:r w:rsidRPr="002D7E9A">
        <w:t xml:space="preserve">Salim. </w:t>
      </w:r>
      <w:r w:rsidRPr="002D7E9A">
        <w:rPr>
          <w:i/>
        </w:rPr>
        <w:t>Dasar-Dasar Hukum Kehutanan</w:t>
      </w:r>
      <w:r w:rsidRPr="002D7E9A">
        <w:t xml:space="preserve"> (Jakarta: 2013)</w:t>
      </w:r>
    </w:p>
    <w:p w:rsidR="00844B45" w:rsidRPr="002D7E9A" w:rsidRDefault="00844B45" w:rsidP="002D7E9A">
      <w:pPr>
        <w:pStyle w:val="Default"/>
        <w:numPr>
          <w:ilvl w:val="0"/>
          <w:numId w:val="18"/>
        </w:numPr>
        <w:spacing w:line="360" w:lineRule="auto"/>
        <w:ind w:left="426" w:hanging="426"/>
        <w:jc w:val="both"/>
        <w:rPr>
          <w:b/>
        </w:rPr>
      </w:pPr>
      <w:r w:rsidRPr="002D7E9A">
        <w:t xml:space="preserve">Wahab, </w:t>
      </w:r>
      <w:proofErr w:type="gramStart"/>
      <w:r w:rsidRPr="002D7E9A">
        <w:t>A</w:t>
      </w:r>
      <w:proofErr w:type="gramEnd"/>
      <w:r w:rsidRPr="002D7E9A">
        <w:t xml:space="preserve"> Solichin. </w:t>
      </w:r>
      <w:r w:rsidRPr="002D7E9A">
        <w:rPr>
          <w:i/>
        </w:rPr>
        <w:t>Analisis Kebijakan dari Formulasi ke Implementasi Kebijakan</w:t>
      </w:r>
      <w:r w:rsidRPr="002D7E9A">
        <w:t xml:space="preserve">. (Jakarta: 1991) </w:t>
      </w:r>
    </w:p>
    <w:p w:rsidR="00844B45" w:rsidRPr="002D7E9A" w:rsidRDefault="00844B45" w:rsidP="002D7E9A">
      <w:pPr>
        <w:pStyle w:val="Default"/>
        <w:numPr>
          <w:ilvl w:val="0"/>
          <w:numId w:val="18"/>
        </w:numPr>
        <w:spacing w:line="360" w:lineRule="auto"/>
        <w:ind w:left="426" w:hanging="426"/>
        <w:jc w:val="both"/>
        <w:rPr>
          <w:b/>
        </w:rPr>
      </w:pPr>
      <w:r w:rsidRPr="002D7E9A">
        <w:t xml:space="preserve">Eggi Sudjana Riyanto. </w:t>
      </w:r>
      <w:r w:rsidRPr="002D7E9A">
        <w:rPr>
          <w:i/>
          <w:iCs/>
        </w:rPr>
        <w:t>Penegakan Hukum Lingkungan dan Perspektig Etika Bisnis di Indonesia</w:t>
      </w:r>
      <w:r w:rsidRPr="002D7E9A">
        <w:t>(Jakarta. 1999)</w:t>
      </w:r>
    </w:p>
    <w:p w:rsidR="00844B45" w:rsidRPr="002D7E9A" w:rsidRDefault="00844B45" w:rsidP="002D7E9A">
      <w:pPr>
        <w:pStyle w:val="Default"/>
        <w:numPr>
          <w:ilvl w:val="0"/>
          <w:numId w:val="18"/>
        </w:numPr>
        <w:spacing w:line="360" w:lineRule="auto"/>
        <w:ind w:left="426" w:hanging="426"/>
        <w:jc w:val="both"/>
        <w:rPr>
          <w:b/>
        </w:rPr>
      </w:pPr>
      <w:r w:rsidRPr="002D7E9A">
        <w:t xml:space="preserve">Pemulardi, Bambang. </w:t>
      </w:r>
      <w:r w:rsidRPr="002D7E9A">
        <w:rPr>
          <w:i/>
        </w:rPr>
        <w:t>Hukum  Kehutanan  dan  Pembangunan  Bidang  Kehutanan (cetakan1)</w:t>
      </w:r>
      <w:r w:rsidRPr="002D7E9A">
        <w:t xml:space="preserve"> (Jakarta: 1999)</w:t>
      </w:r>
    </w:p>
    <w:p w:rsidR="00844B45" w:rsidRPr="002D7E9A" w:rsidRDefault="00844B45" w:rsidP="002D7E9A">
      <w:pPr>
        <w:pStyle w:val="Default"/>
        <w:numPr>
          <w:ilvl w:val="0"/>
          <w:numId w:val="18"/>
        </w:numPr>
        <w:spacing w:line="360" w:lineRule="auto"/>
        <w:ind w:left="426" w:hanging="426"/>
        <w:jc w:val="both"/>
        <w:rPr>
          <w:b/>
        </w:rPr>
      </w:pPr>
      <w:r w:rsidRPr="002D7E9A">
        <w:t xml:space="preserve">L.C Soesanto, Universitas Diponegoro, </w:t>
      </w:r>
      <w:r w:rsidRPr="002D7E9A">
        <w:rPr>
          <w:i/>
          <w:iCs/>
        </w:rPr>
        <w:t>The Spectrum of Corporate Crime in Indonesia</w:t>
      </w:r>
      <w:r w:rsidRPr="002D7E9A">
        <w:t>, http://www.aic.gov.au/publications/proceedings/12/soesanto.pdf, di askse, tanggal, 20 september 2020</w:t>
      </w:r>
    </w:p>
    <w:p w:rsidR="00844B45" w:rsidRPr="002D7E9A" w:rsidRDefault="00844B45" w:rsidP="002D7E9A">
      <w:pPr>
        <w:pStyle w:val="Default"/>
        <w:numPr>
          <w:ilvl w:val="0"/>
          <w:numId w:val="18"/>
        </w:numPr>
        <w:spacing w:line="360" w:lineRule="auto"/>
        <w:ind w:left="426" w:hanging="426"/>
        <w:jc w:val="both"/>
        <w:rPr>
          <w:b/>
        </w:rPr>
      </w:pPr>
      <w:r w:rsidRPr="002D7E9A">
        <w:t xml:space="preserve">Imaniyati, Neni Sri. </w:t>
      </w:r>
      <w:r w:rsidRPr="002D7E9A">
        <w:rPr>
          <w:i/>
        </w:rPr>
        <w:t>Hukum Bisnis: Telaah tentang Pelaku dan Kegiatan Ekonomi</w:t>
      </w:r>
      <w:r w:rsidRPr="002D7E9A">
        <w:t>. (Yogyakarta: 2009)</w:t>
      </w:r>
    </w:p>
    <w:p w:rsidR="00844B45" w:rsidRPr="002D7E9A" w:rsidRDefault="00844B45" w:rsidP="002D7E9A">
      <w:pPr>
        <w:pStyle w:val="Default"/>
        <w:numPr>
          <w:ilvl w:val="0"/>
          <w:numId w:val="18"/>
        </w:numPr>
        <w:spacing w:line="360" w:lineRule="auto"/>
        <w:ind w:left="426" w:hanging="426"/>
        <w:jc w:val="both"/>
        <w:rPr>
          <w:b/>
        </w:rPr>
      </w:pPr>
      <w:r w:rsidRPr="002D7E9A">
        <w:t xml:space="preserve">Purwanto. </w:t>
      </w:r>
      <w:proofErr w:type="gramStart"/>
      <w:r w:rsidRPr="002D7E9A">
        <w:t>dan</w:t>
      </w:r>
      <w:proofErr w:type="gramEnd"/>
      <w:r w:rsidRPr="002D7E9A">
        <w:t xml:space="preserve"> Sulistyastuti. </w:t>
      </w:r>
      <w:r w:rsidRPr="002D7E9A">
        <w:rPr>
          <w:i/>
        </w:rPr>
        <w:t>Analisis Kebijakan dari Formulasi ke Implementasi Kebijakan</w:t>
      </w:r>
      <w:r w:rsidRPr="002D7E9A">
        <w:t>. (Jakarta: 1991)</w:t>
      </w:r>
    </w:p>
    <w:p w:rsidR="00844B45" w:rsidRPr="002D7E9A" w:rsidRDefault="00844B45" w:rsidP="002D7E9A">
      <w:pPr>
        <w:pStyle w:val="Default"/>
        <w:numPr>
          <w:ilvl w:val="0"/>
          <w:numId w:val="18"/>
        </w:numPr>
        <w:spacing w:line="360" w:lineRule="auto"/>
        <w:ind w:left="426" w:hanging="426"/>
        <w:jc w:val="both"/>
        <w:rPr>
          <w:b/>
        </w:rPr>
      </w:pPr>
      <w:r w:rsidRPr="002D7E9A">
        <w:t xml:space="preserve">Erdiansyah. </w:t>
      </w:r>
      <w:r w:rsidRPr="002D7E9A">
        <w:rPr>
          <w:i/>
        </w:rPr>
        <w:t>Ada Asap Tidak Ada Penegakan Hukum</w:t>
      </w:r>
      <w:r w:rsidRPr="002D7E9A">
        <w:t>, (Riau: 2013)</w:t>
      </w:r>
    </w:p>
    <w:p w:rsidR="00844B45" w:rsidRPr="002D7E9A" w:rsidRDefault="00844B45" w:rsidP="002D7E9A">
      <w:pPr>
        <w:pStyle w:val="Default"/>
        <w:numPr>
          <w:ilvl w:val="0"/>
          <w:numId w:val="18"/>
        </w:numPr>
        <w:spacing w:line="360" w:lineRule="auto"/>
        <w:ind w:left="426" w:hanging="426"/>
        <w:jc w:val="both"/>
        <w:rPr>
          <w:b/>
        </w:rPr>
      </w:pPr>
      <w:r w:rsidRPr="002D7E9A">
        <w:lastRenderedPageBreak/>
        <w:t xml:space="preserve">Nawawi Arief, Barda. </w:t>
      </w:r>
      <w:r w:rsidRPr="002D7E9A">
        <w:rPr>
          <w:i/>
        </w:rPr>
        <w:t>Masalah Penegakan Hukum dan Kebijakan Penanggulangan Kejahatan</w:t>
      </w:r>
      <w:r w:rsidRPr="002D7E9A">
        <w:t>. (Bandung: 2001)</w:t>
      </w:r>
    </w:p>
    <w:p w:rsidR="00844B45" w:rsidRPr="002D7E9A" w:rsidRDefault="00844B45" w:rsidP="002D7E9A">
      <w:pPr>
        <w:pStyle w:val="Default"/>
        <w:numPr>
          <w:ilvl w:val="0"/>
          <w:numId w:val="18"/>
        </w:numPr>
        <w:spacing w:line="360" w:lineRule="auto"/>
        <w:ind w:left="426" w:hanging="426"/>
        <w:jc w:val="both"/>
        <w:rPr>
          <w:b/>
        </w:rPr>
      </w:pPr>
      <w:r w:rsidRPr="002D7E9A">
        <w:t xml:space="preserve">Chairul </w:t>
      </w:r>
      <w:proofErr w:type="gramStart"/>
      <w:r w:rsidRPr="002D7E9A">
        <w:t>Hud</w:t>
      </w:r>
      <w:proofErr w:type="gramEnd"/>
      <w:r w:rsidRPr="002D7E9A">
        <w:t xml:space="preserve">. </w:t>
      </w:r>
      <w:r w:rsidRPr="002D7E9A">
        <w:rPr>
          <w:i/>
        </w:rPr>
        <w:t xml:space="preserve"> Dari Tindak Pidana Tanpa Kesalahan Menuju Kepada Tiada Pertanggung jawab Pidana Tanpa Kesalahan, Cetakan ke-2</w:t>
      </w:r>
      <w:r w:rsidRPr="002D7E9A">
        <w:t xml:space="preserve"> (Jakarta: 2006)</w:t>
      </w:r>
    </w:p>
    <w:p w:rsidR="00844B45" w:rsidRPr="002D7E9A" w:rsidRDefault="00844B45" w:rsidP="002D7E9A">
      <w:pPr>
        <w:pStyle w:val="Default"/>
        <w:numPr>
          <w:ilvl w:val="0"/>
          <w:numId w:val="18"/>
        </w:numPr>
        <w:spacing w:line="360" w:lineRule="auto"/>
        <w:ind w:left="426" w:hanging="426"/>
        <w:jc w:val="both"/>
        <w:rPr>
          <w:b/>
        </w:rPr>
      </w:pPr>
      <w:r w:rsidRPr="002D7E9A">
        <w:t xml:space="preserve">Muladi, dan Priyanto, Dwidja. </w:t>
      </w:r>
      <w:r w:rsidRPr="002D7E9A">
        <w:rPr>
          <w:i/>
        </w:rPr>
        <w:t xml:space="preserve">Pertanggungjawaban Pidana Korporasi. </w:t>
      </w:r>
      <w:r w:rsidRPr="002D7E9A">
        <w:t>(Jakarta: 2010)</w:t>
      </w:r>
    </w:p>
    <w:sectPr w:rsidR="00844B45" w:rsidRPr="002D7E9A" w:rsidSect="002D7E9A">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C6" w:rsidRDefault="00172BC6" w:rsidP="002A493D">
      <w:pPr>
        <w:spacing w:after="0" w:line="240" w:lineRule="auto"/>
      </w:pPr>
      <w:r>
        <w:separator/>
      </w:r>
    </w:p>
  </w:endnote>
  <w:endnote w:type="continuationSeparator" w:id="0">
    <w:p w:rsidR="00172BC6" w:rsidRDefault="00172BC6" w:rsidP="002A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C6" w:rsidRDefault="00172BC6" w:rsidP="002A493D">
      <w:pPr>
        <w:spacing w:after="0" w:line="240" w:lineRule="auto"/>
      </w:pPr>
      <w:r>
        <w:separator/>
      </w:r>
    </w:p>
  </w:footnote>
  <w:footnote w:type="continuationSeparator" w:id="0">
    <w:p w:rsidR="00172BC6" w:rsidRDefault="00172BC6" w:rsidP="002A493D">
      <w:pPr>
        <w:spacing w:after="0" w:line="240" w:lineRule="auto"/>
      </w:pPr>
      <w:r>
        <w:continuationSeparator/>
      </w:r>
    </w:p>
  </w:footnote>
  <w:footnote w:id="1">
    <w:p w:rsidR="002A493D" w:rsidRPr="00E01D63" w:rsidRDefault="002A493D" w:rsidP="002A493D">
      <w:pPr>
        <w:pStyle w:val="FootnoteText"/>
        <w:rPr>
          <w:lang w:val="en-ID"/>
        </w:rPr>
      </w:pPr>
      <w:r>
        <w:rPr>
          <w:rStyle w:val="FootnoteReference"/>
        </w:rPr>
        <w:footnoteRef/>
      </w:r>
      <w:r>
        <w:rPr>
          <w:rFonts w:ascii="Times New Roman" w:hAnsi="Times New Roman" w:cs="Times New Roman"/>
        </w:rPr>
        <w:t xml:space="preserve">Guntur Setiawan, </w:t>
      </w:r>
      <w:r w:rsidRPr="003F2751">
        <w:rPr>
          <w:rFonts w:ascii="Times New Roman" w:hAnsi="Times New Roman" w:cs="Times New Roman"/>
          <w:i/>
        </w:rPr>
        <w:t>Impelemtasi dalam Birokrasi Pembangunan</w:t>
      </w:r>
      <w:r>
        <w:rPr>
          <w:rFonts w:ascii="Times New Roman" w:hAnsi="Times New Roman" w:cs="Times New Roman"/>
        </w:rPr>
        <w:t>,</w:t>
      </w:r>
      <w:r w:rsidRPr="003F2751">
        <w:rPr>
          <w:rFonts w:ascii="Times New Roman" w:hAnsi="Times New Roman" w:cs="Times New Roman"/>
        </w:rPr>
        <w:t xml:space="preserve"> Ja</w:t>
      </w:r>
      <w:r>
        <w:rPr>
          <w:rFonts w:ascii="Times New Roman" w:hAnsi="Times New Roman" w:cs="Times New Roman"/>
        </w:rPr>
        <w:t xml:space="preserve">karta, Balai Pustaka, 2004, hlm. </w:t>
      </w:r>
      <w:r w:rsidRPr="003F2751">
        <w:rPr>
          <w:rFonts w:ascii="Times New Roman" w:hAnsi="Times New Roman" w:cs="Times New Roman"/>
        </w:rPr>
        <w:t>39.</w:t>
      </w:r>
    </w:p>
  </w:footnote>
  <w:footnote w:id="2">
    <w:p w:rsidR="002A493D" w:rsidRPr="00DB385D" w:rsidRDefault="002A493D" w:rsidP="002A493D">
      <w:pPr>
        <w:pStyle w:val="FootnoteText"/>
        <w:rPr>
          <w:rFonts w:ascii="Times New Roman" w:hAnsi="Times New Roman" w:cs="Times New Roman"/>
        </w:rPr>
      </w:pPr>
      <w:r>
        <w:rPr>
          <w:rStyle w:val="FootnoteReference"/>
        </w:rPr>
        <w:footnoteRef/>
      </w:r>
      <w:r>
        <w:rPr>
          <w:rFonts w:ascii="Times New Roman" w:hAnsi="Times New Roman" w:cs="Times New Roman"/>
        </w:rPr>
        <w:t xml:space="preserve">Muladi dan Dwidja Priyanto, </w:t>
      </w:r>
      <w:r w:rsidRPr="00DB385D">
        <w:rPr>
          <w:rFonts w:ascii="Times New Roman" w:hAnsi="Times New Roman" w:cs="Times New Roman"/>
          <w:i/>
        </w:rPr>
        <w:t>Pertanggungjawaban Pidana Korporasi</w:t>
      </w:r>
      <w:r>
        <w:rPr>
          <w:rFonts w:ascii="Times New Roman" w:hAnsi="Times New Roman" w:cs="Times New Roman"/>
        </w:rPr>
        <w:t>, Jakarta, Kencana,</w:t>
      </w:r>
    </w:p>
    <w:p w:rsidR="002A493D" w:rsidRPr="00E01D63" w:rsidRDefault="002A493D" w:rsidP="002A493D">
      <w:pPr>
        <w:pStyle w:val="FootnoteText"/>
        <w:rPr>
          <w:lang w:val="en-ID"/>
        </w:rPr>
      </w:pPr>
      <w:proofErr w:type="gramStart"/>
      <w:r>
        <w:rPr>
          <w:rFonts w:ascii="Times New Roman" w:hAnsi="Times New Roman" w:cs="Times New Roman"/>
        </w:rPr>
        <w:t>2010,</w:t>
      </w:r>
      <w:r w:rsidRPr="00DB385D">
        <w:rPr>
          <w:rFonts w:ascii="Times New Roman" w:hAnsi="Times New Roman" w:cs="Times New Roman"/>
        </w:rPr>
        <w:t xml:space="preserve"> hlm.</w:t>
      </w:r>
      <w:proofErr w:type="gramEnd"/>
      <w:r w:rsidRPr="00DB385D">
        <w:rPr>
          <w:rFonts w:ascii="Times New Roman" w:hAnsi="Times New Roman" w:cs="Times New Roman"/>
        </w:rPr>
        <w:t xml:space="preserve"> 23.</w:t>
      </w:r>
    </w:p>
  </w:footnote>
  <w:footnote w:id="3">
    <w:p w:rsidR="00E6362D" w:rsidRPr="00E01D63" w:rsidRDefault="00E6362D" w:rsidP="00E6362D">
      <w:pPr>
        <w:pStyle w:val="FootnoteText"/>
        <w:rPr>
          <w:lang w:val="en-ID"/>
        </w:rPr>
      </w:pPr>
      <w:r>
        <w:rPr>
          <w:rStyle w:val="FootnoteReference"/>
        </w:rPr>
        <w:footnoteRef/>
      </w:r>
      <w:r w:rsidRPr="00556B82">
        <w:rPr>
          <w:rFonts w:ascii="Times New Roman" w:hAnsi="Times New Roman" w:cs="Times New Roman"/>
        </w:rPr>
        <w:t xml:space="preserve">Barda Nawawi Arief, </w:t>
      </w:r>
      <w:r w:rsidRPr="00556B82">
        <w:rPr>
          <w:rFonts w:ascii="Times New Roman" w:hAnsi="Times New Roman" w:cs="Times New Roman"/>
          <w:i/>
        </w:rPr>
        <w:t>Bunga Rampai Hukum Pidana</w:t>
      </w:r>
      <w:r w:rsidRPr="00556B82">
        <w:rPr>
          <w:rFonts w:ascii="Times New Roman" w:hAnsi="Times New Roman" w:cs="Times New Roman"/>
        </w:rPr>
        <w:t>, Bandung, Citra Aditya Bakti, 1996</w:t>
      </w:r>
    </w:p>
  </w:footnote>
  <w:footnote w:id="4">
    <w:p w:rsidR="00E6362D" w:rsidRPr="001E3453" w:rsidRDefault="00E6362D" w:rsidP="00E6362D">
      <w:pPr>
        <w:pStyle w:val="FootnoteText"/>
        <w:rPr>
          <w:lang w:val="en-ID"/>
        </w:rPr>
      </w:pPr>
      <w:r>
        <w:rPr>
          <w:rStyle w:val="FootnoteReference"/>
        </w:rPr>
        <w:footnoteRef/>
      </w:r>
      <w:r w:rsidRPr="00330D7A">
        <w:rPr>
          <w:rFonts w:ascii="Times New Roman" w:hAnsi="Times New Roman" w:cs="Times New Roman"/>
        </w:rPr>
        <w:t xml:space="preserve">Doni Nandika, </w:t>
      </w:r>
      <w:r w:rsidRPr="00330D7A">
        <w:rPr>
          <w:rFonts w:ascii="Times New Roman" w:hAnsi="Times New Roman" w:cs="Times New Roman"/>
          <w:i/>
        </w:rPr>
        <w:t>Hutan bagi Ketahanan Nasional</w:t>
      </w:r>
      <w:r w:rsidRPr="00330D7A">
        <w:rPr>
          <w:rFonts w:ascii="Times New Roman" w:hAnsi="Times New Roman" w:cs="Times New Roman"/>
        </w:rPr>
        <w:t>, Surakarta, Muhammadiyah University Press, 2005, hlm. 14.</w:t>
      </w:r>
    </w:p>
  </w:footnote>
  <w:footnote w:id="5">
    <w:p w:rsidR="004368D4" w:rsidRPr="00941633" w:rsidRDefault="004368D4" w:rsidP="004368D4">
      <w:pPr>
        <w:pStyle w:val="FootnoteText"/>
        <w:rPr>
          <w:rFonts w:ascii="Times New Roman" w:hAnsi="Times New Roman" w:cs="Times New Roman"/>
          <w:lang w:val="en-ID"/>
        </w:rPr>
      </w:pPr>
      <w:r w:rsidRPr="00941633">
        <w:rPr>
          <w:rStyle w:val="FootnoteReference"/>
          <w:rFonts w:ascii="Times New Roman" w:hAnsi="Times New Roman" w:cs="Times New Roman"/>
        </w:rPr>
        <w:footnoteRef/>
      </w:r>
      <w:r w:rsidRPr="00941633">
        <w:rPr>
          <w:rFonts w:ascii="Times New Roman" w:hAnsi="Times New Roman" w:cs="Times New Roman"/>
        </w:rPr>
        <w:t xml:space="preserve"> Michael Bohler, </w:t>
      </w:r>
      <w:r w:rsidRPr="00941633">
        <w:rPr>
          <w:rFonts w:ascii="Times New Roman" w:hAnsi="Times New Roman" w:cs="Times New Roman"/>
          <w:i/>
          <w:iCs/>
        </w:rPr>
        <w:t>Principle of German Criminal Law</w:t>
      </w:r>
      <w:r w:rsidRPr="00941633">
        <w:rPr>
          <w:rFonts w:ascii="Times New Roman" w:hAnsi="Times New Roman" w:cs="Times New Roman"/>
        </w:rPr>
        <w:t>, Oxford and Portland Hart Publishing, 2002, hlm 20</w:t>
      </w:r>
    </w:p>
  </w:footnote>
  <w:footnote w:id="6">
    <w:p w:rsidR="004368D4" w:rsidRPr="00E01D63" w:rsidRDefault="004368D4" w:rsidP="004368D4">
      <w:pPr>
        <w:pStyle w:val="FootnoteText"/>
        <w:rPr>
          <w:lang w:val="en-ID"/>
        </w:rPr>
      </w:pPr>
      <w:r>
        <w:rPr>
          <w:rStyle w:val="FootnoteReference"/>
        </w:rPr>
        <w:footnoteRef/>
      </w:r>
      <w:r>
        <w:rPr>
          <w:rFonts w:ascii="Times New Roman" w:hAnsi="Times New Roman" w:cs="Times New Roman"/>
        </w:rPr>
        <w:t>Mula</w:t>
      </w:r>
      <w:r w:rsidRPr="002C0B70">
        <w:rPr>
          <w:rFonts w:ascii="Times New Roman" w:hAnsi="Times New Roman" w:cs="Times New Roman"/>
        </w:rPr>
        <w:t xml:space="preserve">di, Dwidja Priyatno, </w:t>
      </w:r>
      <w:r w:rsidRPr="002C0B70">
        <w:rPr>
          <w:rFonts w:ascii="Times New Roman" w:hAnsi="Times New Roman" w:cs="Times New Roman"/>
          <w:i/>
        </w:rPr>
        <w:t>Pertanggungjawaban Pidana Korporasi</w:t>
      </w:r>
      <w:r w:rsidRPr="002C0B70">
        <w:rPr>
          <w:rFonts w:ascii="Times New Roman" w:hAnsi="Times New Roman" w:cs="Times New Roman"/>
        </w:rPr>
        <w:t>, Jakarta, Kencana Prenada Media Group, 2011, hlm. 229</w:t>
      </w:r>
    </w:p>
  </w:footnote>
  <w:footnote w:id="7">
    <w:p w:rsidR="004368D4" w:rsidRPr="00941633" w:rsidRDefault="004368D4" w:rsidP="004368D4">
      <w:pPr>
        <w:pStyle w:val="FootnoteText"/>
        <w:rPr>
          <w:lang w:val="en-ID"/>
        </w:rPr>
      </w:pPr>
      <w:r>
        <w:rPr>
          <w:rStyle w:val="FootnoteReference"/>
        </w:rPr>
        <w:footnoteRef/>
      </w:r>
      <w:r w:rsidRPr="00941633">
        <w:rPr>
          <w:rFonts w:ascii="Times New Roman" w:hAnsi="Times New Roman" w:cs="Times New Roman"/>
        </w:rPr>
        <w:t>Mahrus Ali,</w:t>
      </w:r>
      <w:r w:rsidRPr="00941633">
        <w:rPr>
          <w:rFonts w:ascii="Times New Roman" w:hAnsi="Times New Roman" w:cs="Times New Roman"/>
          <w:i/>
          <w:iCs/>
        </w:rPr>
        <w:t>Asas-Asas</w:t>
      </w:r>
      <w:r w:rsidRPr="00941633">
        <w:rPr>
          <w:rFonts w:ascii="Times New Roman" w:hAnsi="Times New Roman" w:cs="Times New Roman"/>
        </w:rPr>
        <w:t>, hlm 152</w:t>
      </w:r>
    </w:p>
  </w:footnote>
  <w:footnote w:id="8">
    <w:p w:rsidR="004368D4" w:rsidRPr="004C5464" w:rsidRDefault="004368D4" w:rsidP="004368D4">
      <w:pPr>
        <w:pStyle w:val="FootnoteText"/>
        <w:rPr>
          <w:lang w:val="en-ID"/>
        </w:rPr>
      </w:pPr>
      <w:r>
        <w:rPr>
          <w:rStyle w:val="FootnoteReference"/>
        </w:rPr>
        <w:footnoteRef/>
      </w:r>
      <w:r>
        <w:rPr>
          <w:rFonts w:ascii="Times New Roman" w:hAnsi="Times New Roman" w:cs="Times New Roman"/>
        </w:rPr>
        <w:t>Salim</w:t>
      </w:r>
      <w:proofErr w:type="gramStart"/>
      <w:r>
        <w:rPr>
          <w:rFonts w:ascii="Times New Roman" w:hAnsi="Times New Roman" w:cs="Times New Roman"/>
        </w:rPr>
        <w:t>,</w:t>
      </w:r>
      <w:r w:rsidRPr="00B271E7">
        <w:rPr>
          <w:rFonts w:ascii="Times New Roman" w:hAnsi="Times New Roman" w:cs="Times New Roman"/>
          <w:i/>
        </w:rPr>
        <w:t>Dasar</w:t>
      </w:r>
      <w:proofErr w:type="gramEnd"/>
      <w:r w:rsidRPr="00B271E7">
        <w:rPr>
          <w:rFonts w:ascii="Times New Roman" w:hAnsi="Times New Roman" w:cs="Times New Roman"/>
          <w:i/>
        </w:rPr>
        <w:t>-Dasar Hukum Kehutanan</w:t>
      </w:r>
      <w:r>
        <w:rPr>
          <w:rFonts w:ascii="Times New Roman" w:hAnsi="Times New Roman" w:cs="Times New Roman"/>
        </w:rPr>
        <w:t>, Jakarta, Sinar Grafika, 2013,</w:t>
      </w:r>
      <w:r w:rsidRPr="00B271E7">
        <w:rPr>
          <w:rFonts w:ascii="Times New Roman" w:hAnsi="Times New Roman" w:cs="Times New Roman"/>
        </w:rPr>
        <w:t xml:space="preserve"> hlm. 40.</w:t>
      </w:r>
    </w:p>
  </w:footnote>
  <w:footnote w:id="9">
    <w:p w:rsidR="00E53FB2" w:rsidRPr="004C5464" w:rsidRDefault="00E53FB2" w:rsidP="00E53FB2">
      <w:pPr>
        <w:pStyle w:val="FootnoteText"/>
        <w:rPr>
          <w:lang w:val="en-ID"/>
        </w:rPr>
      </w:pPr>
      <w:r>
        <w:rPr>
          <w:rStyle w:val="FootnoteReference"/>
        </w:rPr>
        <w:footnoteRef/>
      </w:r>
      <w:r w:rsidRPr="004C5464">
        <w:rPr>
          <w:rFonts w:ascii="Times New Roman" w:hAnsi="Times New Roman" w:cs="Times New Roman"/>
        </w:rPr>
        <w:t xml:space="preserve">Wahab, </w:t>
      </w:r>
      <w:proofErr w:type="gramStart"/>
      <w:r w:rsidRPr="004C5464">
        <w:rPr>
          <w:rFonts w:ascii="Times New Roman" w:hAnsi="Times New Roman" w:cs="Times New Roman"/>
        </w:rPr>
        <w:t>A</w:t>
      </w:r>
      <w:proofErr w:type="gramEnd"/>
      <w:r w:rsidRPr="004C5464">
        <w:rPr>
          <w:rFonts w:ascii="Times New Roman" w:hAnsi="Times New Roman" w:cs="Times New Roman"/>
        </w:rPr>
        <w:t xml:space="preserve"> Solichin. </w:t>
      </w:r>
      <w:proofErr w:type="gramStart"/>
      <w:r w:rsidRPr="004C5464">
        <w:rPr>
          <w:rFonts w:ascii="Times New Roman" w:hAnsi="Times New Roman" w:cs="Times New Roman"/>
          <w:i/>
        </w:rPr>
        <w:t>Analisis Kebijakan dari Formulasi ke Implementasi Kebijakan</w:t>
      </w:r>
      <w:r w:rsidRPr="004C5464">
        <w:rPr>
          <w:rFonts w:ascii="Times New Roman" w:hAnsi="Times New Roman" w:cs="Times New Roman"/>
        </w:rPr>
        <w:t>.</w:t>
      </w:r>
      <w:proofErr w:type="gramEnd"/>
      <w:r w:rsidRPr="004C5464">
        <w:rPr>
          <w:rFonts w:ascii="Times New Roman" w:hAnsi="Times New Roman" w:cs="Times New Roman"/>
        </w:rPr>
        <w:t xml:space="preserve"> Jakarta: Bumi Aksara. 1991. </w:t>
      </w:r>
      <w:proofErr w:type="gramStart"/>
      <w:r w:rsidRPr="004C5464">
        <w:rPr>
          <w:rFonts w:ascii="Times New Roman" w:hAnsi="Times New Roman" w:cs="Times New Roman"/>
        </w:rPr>
        <w:t>hlm</w:t>
      </w:r>
      <w:proofErr w:type="gramEnd"/>
      <w:r w:rsidRPr="004C5464">
        <w:rPr>
          <w:rFonts w:ascii="Times New Roman" w:hAnsi="Times New Roman" w:cs="Times New Roman"/>
        </w:rPr>
        <w:t>. 119</w:t>
      </w:r>
    </w:p>
  </w:footnote>
  <w:footnote w:id="10">
    <w:p w:rsidR="00E53FB2" w:rsidRPr="00AF382B" w:rsidRDefault="00E53FB2" w:rsidP="00E53FB2">
      <w:pPr>
        <w:autoSpaceDE w:val="0"/>
        <w:autoSpaceDN w:val="0"/>
        <w:adjustRightInd w:val="0"/>
        <w:spacing w:after="0" w:line="240" w:lineRule="auto"/>
        <w:jc w:val="left"/>
        <w:rPr>
          <w:rFonts w:ascii="Times New Roman" w:hAnsi="Times New Roman" w:cs="Times New Roman"/>
          <w:i/>
          <w:iCs/>
          <w:sz w:val="20"/>
          <w:szCs w:val="20"/>
        </w:rPr>
      </w:pPr>
      <w:r>
        <w:rPr>
          <w:rStyle w:val="FootnoteReference"/>
        </w:rPr>
        <w:footnoteRef/>
      </w:r>
      <w:r>
        <w:rPr>
          <w:rFonts w:ascii="Times New Roman" w:hAnsi="Times New Roman" w:cs="Times New Roman"/>
          <w:sz w:val="20"/>
          <w:szCs w:val="20"/>
        </w:rPr>
        <w:t xml:space="preserve">Eggi Sudjana Riyanto, </w:t>
      </w:r>
      <w:r>
        <w:rPr>
          <w:rFonts w:ascii="Times New Roman" w:hAnsi="Times New Roman" w:cs="Times New Roman"/>
          <w:i/>
          <w:iCs/>
          <w:sz w:val="20"/>
          <w:szCs w:val="20"/>
        </w:rPr>
        <w:t>Penegakan Hukum Lingkungan dan Perspektig Etika Bisnis di Indonesia</w:t>
      </w:r>
      <w:r>
        <w:rPr>
          <w:rFonts w:ascii="Times New Roman" w:hAnsi="Times New Roman" w:cs="Times New Roman"/>
          <w:sz w:val="20"/>
          <w:szCs w:val="20"/>
        </w:rPr>
        <w:t xml:space="preserve">. PT. Gramedia Pustaka Utama, Jakarta. </w:t>
      </w:r>
      <w:proofErr w:type="gramStart"/>
      <w:r>
        <w:rPr>
          <w:rFonts w:ascii="Times New Roman" w:hAnsi="Times New Roman" w:cs="Times New Roman"/>
          <w:sz w:val="20"/>
          <w:szCs w:val="20"/>
        </w:rPr>
        <w:t>1999, hlm.45.</w:t>
      </w:r>
      <w:proofErr w:type="gramEnd"/>
    </w:p>
  </w:footnote>
  <w:footnote w:id="11">
    <w:p w:rsidR="00E53FB2" w:rsidRPr="004C5464" w:rsidRDefault="00E53FB2" w:rsidP="00E53FB2">
      <w:pPr>
        <w:pStyle w:val="FootnoteText"/>
        <w:rPr>
          <w:lang w:val="en-ID"/>
        </w:rPr>
      </w:pPr>
      <w:r>
        <w:rPr>
          <w:rStyle w:val="FootnoteReference"/>
        </w:rPr>
        <w:footnoteRef/>
      </w:r>
      <w:r w:rsidRPr="004C5464">
        <w:rPr>
          <w:rFonts w:ascii="Times New Roman" w:hAnsi="Times New Roman" w:cs="Times New Roman"/>
        </w:rPr>
        <w:t>Pemulardi, Bambang</w:t>
      </w:r>
      <w:proofErr w:type="gramStart"/>
      <w:r w:rsidRPr="004C5464">
        <w:rPr>
          <w:rFonts w:ascii="Times New Roman" w:hAnsi="Times New Roman" w:cs="Times New Roman"/>
        </w:rPr>
        <w:t>..</w:t>
      </w:r>
      <w:r w:rsidRPr="004C5464">
        <w:rPr>
          <w:rFonts w:ascii="Times New Roman" w:hAnsi="Times New Roman" w:cs="Times New Roman"/>
          <w:i/>
        </w:rPr>
        <w:t>Hukum  Kehutanan</w:t>
      </w:r>
      <w:proofErr w:type="gramEnd"/>
      <w:r w:rsidRPr="004C5464">
        <w:rPr>
          <w:rFonts w:ascii="Times New Roman" w:hAnsi="Times New Roman" w:cs="Times New Roman"/>
          <w:i/>
        </w:rPr>
        <w:t xml:space="preserve">  dan  Pembangunan  Bidang  Kehutanan (cetakan1)</w:t>
      </w:r>
      <w:r w:rsidRPr="004C5464">
        <w:rPr>
          <w:rFonts w:ascii="Times New Roman" w:hAnsi="Times New Roman" w:cs="Times New Roman"/>
        </w:rPr>
        <w:t xml:space="preserve">. Jakarta: Raja Grafindo Persada. 1999. </w:t>
      </w:r>
      <w:proofErr w:type="gramStart"/>
      <w:r w:rsidRPr="004C5464">
        <w:rPr>
          <w:rFonts w:ascii="Times New Roman" w:hAnsi="Times New Roman" w:cs="Times New Roman"/>
        </w:rPr>
        <w:t>hlm</w:t>
      </w:r>
      <w:proofErr w:type="gramEnd"/>
      <w:r w:rsidRPr="004C5464">
        <w:rPr>
          <w:rFonts w:ascii="Times New Roman" w:hAnsi="Times New Roman" w:cs="Times New Roman"/>
        </w:rPr>
        <w:t>. 45</w:t>
      </w:r>
    </w:p>
  </w:footnote>
  <w:footnote w:id="12">
    <w:p w:rsidR="00E53FB2" w:rsidRPr="00AF382B" w:rsidRDefault="00E53FB2" w:rsidP="00E53FB2">
      <w:pPr>
        <w:autoSpaceDE w:val="0"/>
        <w:autoSpaceDN w:val="0"/>
        <w:adjustRightInd w:val="0"/>
        <w:spacing w:after="0" w:line="240" w:lineRule="auto"/>
        <w:jc w:val="left"/>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L.C Soesanto, Universitas Diponegoro, </w:t>
      </w:r>
      <w:r>
        <w:rPr>
          <w:rFonts w:ascii="Times New Roman" w:hAnsi="Times New Roman" w:cs="Times New Roman"/>
          <w:i/>
          <w:iCs/>
          <w:sz w:val="20"/>
          <w:szCs w:val="20"/>
        </w:rPr>
        <w:t>The Spectrum of Corporate Crime in Indonesia</w:t>
      </w:r>
      <w:r>
        <w:rPr>
          <w:rFonts w:ascii="Times New Roman" w:hAnsi="Times New Roman" w:cs="Times New Roman"/>
          <w:sz w:val="20"/>
          <w:szCs w:val="20"/>
        </w:rPr>
        <w:t>, http://www.aic.gov.au/publications/proceedings/12/soesanto.pdf, di askse, tanggal, 2</w:t>
      </w:r>
      <w:r>
        <w:rPr>
          <w:rFonts w:ascii="Times New Roman" w:hAnsi="Times New Roman" w:cs="Times New Roman"/>
        </w:rPr>
        <w:t>0 september 2020</w:t>
      </w:r>
    </w:p>
  </w:footnote>
  <w:footnote w:id="13">
    <w:p w:rsidR="00E53FB2" w:rsidRPr="005F290B" w:rsidRDefault="00E53FB2" w:rsidP="00E53FB2">
      <w:pPr>
        <w:pStyle w:val="FootnoteText"/>
        <w:rPr>
          <w:lang w:val="en-ID"/>
        </w:rPr>
      </w:pPr>
      <w:r>
        <w:rPr>
          <w:rStyle w:val="FootnoteReference"/>
        </w:rPr>
        <w:footnoteRef/>
      </w:r>
      <w:r w:rsidRPr="005F290B">
        <w:rPr>
          <w:rFonts w:ascii="Times New Roman" w:hAnsi="Times New Roman" w:cs="Times New Roman"/>
        </w:rPr>
        <w:t xml:space="preserve">Imaniyati, Neni Sri. </w:t>
      </w:r>
      <w:r w:rsidRPr="005F290B">
        <w:rPr>
          <w:rFonts w:ascii="Times New Roman" w:hAnsi="Times New Roman" w:cs="Times New Roman"/>
          <w:i/>
        </w:rPr>
        <w:t>Hukum Bisnis: Telaah tentang Pelaku dan Kegiatan Ekonomi</w:t>
      </w:r>
      <w:r w:rsidRPr="005F290B">
        <w:rPr>
          <w:rFonts w:ascii="Times New Roman" w:hAnsi="Times New Roman" w:cs="Times New Roman"/>
        </w:rPr>
        <w:t>. Yogyakarta: Graha Ilmu. 2009. Hlm. 115</w:t>
      </w:r>
    </w:p>
  </w:footnote>
  <w:footnote w:id="14">
    <w:p w:rsidR="00E53FB2" w:rsidRPr="005F290B" w:rsidRDefault="00E53FB2" w:rsidP="00E53FB2">
      <w:pPr>
        <w:pStyle w:val="FootnoteText"/>
        <w:rPr>
          <w:lang w:val="en-ID"/>
        </w:rPr>
      </w:pPr>
      <w:r>
        <w:rPr>
          <w:rStyle w:val="FootnoteReference"/>
        </w:rPr>
        <w:footnoteRef/>
      </w:r>
      <w:r>
        <w:rPr>
          <w:rFonts w:ascii="Times New Roman" w:hAnsi="Times New Roman" w:cs="Times New Roman"/>
        </w:rPr>
        <w:t xml:space="preserve">Purwanto.dan Sulistyastuti. </w:t>
      </w:r>
      <w:proofErr w:type="gramStart"/>
      <w:r w:rsidRPr="005F290B">
        <w:rPr>
          <w:rFonts w:ascii="Times New Roman" w:hAnsi="Times New Roman" w:cs="Times New Roman"/>
          <w:i/>
        </w:rPr>
        <w:t>Analisis Kebijakan dari Formulasi ke Implementasi Kebijakan</w:t>
      </w:r>
      <w:r w:rsidRPr="005F290B">
        <w:rPr>
          <w:rFonts w:ascii="Times New Roman" w:hAnsi="Times New Roman" w:cs="Times New Roman"/>
        </w:rPr>
        <w:t>.</w:t>
      </w:r>
      <w:proofErr w:type="gramEnd"/>
      <w:r w:rsidRPr="005F290B">
        <w:rPr>
          <w:rFonts w:ascii="Times New Roman" w:hAnsi="Times New Roman" w:cs="Times New Roman"/>
        </w:rPr>
        <w:t xml:space="preserve"> Jakarta: Bumi Aksara. 1991. </w:t>
      </w:r>
      <w:proofErr w:type="gramStart"/>
      <w:r w:rsidRPr="005F290B">
        <w:rPr>
          <w:rFonts w:ascii="Times New Roman" w:hAnsi="Times New Roman" w:cs="Times New Roman"/>
        </w:rPr>
        <w:t>hlm</w:t>
      </w:r>
      <w:proofErr w:type="gramEnd"/>
      <w:r w:rsidRPr="005F290B">
        <w:rPr>
          <w:rFonts w:ascii="Times New Roman" w:hAnsi="Times New Roman" w:cs="Times New Roman"/>
        </w:rPr>
        <w:t>. 93</w:t>
      </w:r>
    </w:p>
  </w:footnote>
  <w:footnote w:id="15">
    <w:p w:rsidR="00E53FB2" w:rsidRPr="00AF382B" w:rsidRDefault="00E53FB2" w:rsidP="00E53FB2">
      <w:pPr>
        <w:autoSpaceDE w:val="0"/>
        <w:autoSpaceDN w:val="0"/>
        <w:adjustRightInd w:val="0"/>
        <w:spacing w:after="0" w:line="240" w:lineRule="auto"/>
        <w:jc w:val="left"/>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Erdiansyah, “Ada </w:t>
      </w:r>
      <w:proofErr w:type="gramStart"/>
      <w:r>
        <w:rPr>
          <w:rFonts w:ascii="Times New Roman" w:hAnsi="Times New Roman" w:cs="Times New Roman"/>
          <w:sz w:val="20"/>
          <w:szCs w:val="20"/>
        </w:rPr>
        <w:t>Asap</w:t>
      </w:r>
      <w:proofErr w:type="gramEnd"/>
      <w:r>
        <w:rPr>
          <w:rFonts w:ascii="Times New Roman" w:hAnsi="Times New Roman" w:cs="Times New Roman"/>
          <w:sz w:val="20"/>
          <w:szCs w:val="20"/>
        </w:rPr>
        <w:t xml:space="preserve"> Tidak Ada Penegakan Hukum”, </w:t>
      </w:r>
      <w:r>
        <w:rPr>
          <w:rFonts w:ascii="Times New Roman" w:hAnsi="Times New Roman" w:cs="Times New Roman"/>
          <w:i/>
          <w:iCs/>
          <w:sz w:val="20"/>
          <w:szCs w:val="20"/>
        </w:rPr>
        <w:t xml:space="preserve">Artikel Tablod Saksi </w:t>
      </w:r>
      <w:r>
        <w:rPr>
          <w:rFonts w:ascii="Times New Roman" w:hAnsi="Times New Roman" w:cs="Times New Roman"/>
          <w:sz w:val="20"/>
          <w:szCs w:val="20"/>
        </w:rPr>
        <w:t>Fakultas Hukum Universitas Riau, 2013.</w:t>
      </w:r>
    </w:p>
  </w:footnote>
  <w:footnote w:id="16">
    <w:p w:rsidR="00E53FB2" w:rsidRPr="004C5464" w:rsidRDefault="00E53FB2" w:rsidP="00E53FB2">
      <w:pPr>
        <w:pStyle w:val="FootnoteText"/>
        <w:rPr>
          <w:lang w:val="en-ID"/>
        </w:rPr>
      </w:pPr>
      <w:r>
        <w:rPr>
          <w:rStyle w:val="FootnoteReference"/>
        </w:rPr>
        <w:footnoteRef/>
      </w:r>
      <w:r w:rsidRPr="004C5464">
        <w:rPr>
          <w:rFonts w:ascii="Times New Roman" w:hAnsi="Times New Roman" w:cs="Times New Roman"/>
        </w:rPr>
        <w:t xml:space="preserve">Nawawi Arief, Barda. </w:t>
      </w:r>
      <w:proofErr w:type="gramStart"/>
      <w:r w:rsidRPr="004C5464">
        <w:rPr>
          <w:rFonts w:ascii="Times New Roman" w:hAnsi="Times New Roman" w:cs="Times New Roman"/>
          <w:i/>
        </w:rPr>
        <w:t>Masalah Penegakan Hukum dan Kebijakan Penanggulangan Kejahatan</w:t>
      </w:r>
      <w:r w:rsidRPr="004C5464">
        <w:rPr>
          <w:rFonts w:ascii="Times New Roman" w:hAnsi="Times New Roman" w:cs="Times New Roman"/>
        </w:rPr>
        <w:t>.</w:t>
      </w:r>
      <w:proofErr w:type="gramEnd"/>
      <w:r w:rsidRPr="004C5464">
        <w:rPr>
          <w:rFonts w:ascii="Times New Roman" w:hAnsi="Times New Roman" w:cs="Times New Roman"/>
        </w:rPr>
        <w:t xml:space="preserve"> Bandung: PT. Citra Aditya Bakti. 2001. </w:t>
      </w:r>
      <w:proofErr w:type="gramStart"/>
      <w:r w:rsidRPr="004C5464">
        <w:rPr>
          <w:rFonts w:ascii="Times New Roman" w:hAnsi="Times New Roman" w:cs="Times New Roman"/>
        </w:rPr>
        <w:t>hlm</w:t>
      </w:r>
      <w:proofErr w:type="gramEnd"/>
      <w:r w:rsidRPr="004C5464">
        <w:rPr>
          <w:rFonts w:ascii="Times New Roman" w:hAnsi="Times New Roman" w:cs="Times New Roman"/>
        </w:rPr>
        <w:t>. 58</w:t>
      </w:r>
    </w:p>
  </w:footnote>
  <w:footnote w:id="17">
    <w:p w:rsidR="00E53FB2" w:rsidRPr="00AF382B" w:rsidRDefault="00E53FB2" w:rsidP="00E53FB2">
      <w:pPr>
        <w:pStyle w:val="FootnoteText"/>
        <w:rPr>
          <w:lang w:val="en-ID"/>
        </w:rPr>
      </w:pPr>
      <w:r>
        <w:rPr>
          <w:rStyle w:val="FootnoteReference"/>
        </w:rPr>
        <w:footnoteRef/>
      </w:r>
      <w:r>
        <w:rPr>
          <w:rFonts w:ascii="Times New Roman" w:hAnsi="Times New Roman" w:cs="Times New Roman"/>
        </w:rPr>
        <w:t>Chairul Hud</w:t>
      </w:r>
      <w:proofErr w:type="gramStart"/>
      <w:r>
        <w:rPr>
          <w:rFonts w:ascii="Times New Roman" w:hAnsi="Times New Roman" w:cs="Times New Roman"/>
        </w:rPr>
        <w:t xml:space="preserve">, </w:t>
      </w:r>
      <w:r w:rsidRPr="00074B1B">
        <w:rPr>
          <w:rFonts w:ascii="Times New Roman" w:hAnsi="Times New Roman" w:cs="Times New Roman"/>
          <w:i/>
        </w:rPr>
        <w:t xml:space="preserve"> Dari</w:t>
      </w:r>
      <w:proofErr w:type="gramEnd"/>
      <w:r w:rsidRPr="00074B1B">
        <w:rPr>
          <w:rFonts w:ascii="Times New Roman" w:hAnsi="Times New Roman" w:cs="Times New Roman"/>
          <w:i/>
        </w:rPr>
        <w:t xml:space="preserve"> Tindak Pidana Tanpa Kesalahan Menuju Kepada Tiada Pertanggung jawab Pidana Tanpa Kesalahan, Cetakan ke-2</w:t>
      </w:r>
      <w:r>
        <w:rPr>
          <w:rFonts w:ascii="Times New Roman" w:hAnsi="Times New Roman" w:cs="Times New Roman"/>
        </w:rPr>
        <w:t>,</w:t>
      </w:r>
      <w:r w:rsidRPr="00074B1B">
        <w:rPr>
          <w:rFonts w:ascii="Times New Roman" w:hAnsi="Times New Roman" w:cs="Times New Roman"/>
        </w:rPr>
        <w:t xml:space="preserve"> Jaka</w:t>
      </w:r>
      <w:r>
        <w:rPr>
          <w:rFonts w:ascii="Times New Roman" w:hAnsi="Times New Roman" w:cs="Times New Roman"/>
        </w:rPr>
        <w:t>rta, Kencana, 2006, h</w:t>
      </w:r>
      <w:r w:rsidRPr="00074B1B">
        <w:rPr>
          <w:rFonts w:ascii="Times New Roman" w:hAnsi="Times New Roman" w:cs="Times New Roman"/>
        </w:rPr>
        <w:t>lm. 68.</w:t>
      </w:r>
    </w:p>
  </w:footnote>
  <w:footnote w:id="18">
    <w:p w:rsidR="00E53FB2" w:rsidRPr="005F290B" w:rsidRDefault="00E53FB2" w:rsidP="00E53FB2">
      <w:pPr>
        <w:pStyle w:val="FootnoteText"/>
        <w:rPr>
          <w:lang w:val="en-ID"/>
        </w:rPr>
      </w:pPr>
      <w:r>
        <w:rPr>
          <w:rStyle w:val="FootnoteReference"/>
        </w:rPr>
        <w:footnoteRef/>
      </w:r>
      <w:proofErr w:type="gramStart"/>
      <w:r w:rsidRPr="005F290B">
        <w:rPr>
          <w:rFonts w:ascii="Times New Roman" w:hAnsi="Times New Roman" w:cs="Times New Roman"/>
        </w:rPr>
        <w:t>Muladi, dan Priyanto, Dwidja.</w:t>
      </w:r>
      <w:r w:rsidRPr="005F290B">
        <w:rPr>
          <w:rFonts w:ascii="Times New Roman" w:hAnsi="Times New Roman" w:cs="Times New Roman"/>
          <w:i/>
        </w:rPr>
        <w:t>Pertanggungjawaban Pidana Korporasi.</w:t>
      </w:r>
      <w:proofErr w:type="gramEnd"/>
      <w:r w:rsidRPr="005F290B">
        <w:rPr>
          <w:rFonts w:ascii="Times New Roman" w:hAnsi="Times New Roman" w:cs="Times New Roman"/>
          <w:i/>
        </w:rPr>
        <w:t xml:space="preserve"> </w:t>
      </w:r>
      <w:r w:rsidRPr="005F290B">
        <w:rPr>
          <w:rFonts w:ascii="Times New Roman" w:hAnsi="Times New Roman" w:cs="Times New Roman"/>
        </w:rPr>
        <w:t>Jakarta: Kencana. 2010. Hlm.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8BB"/>
    <w:multiLevelType w:val="hybridMultilevel"/>
    <w:tmpl w:val="4BCE9970"/>
    <w:lvl w:ilvl="0" w:tplc="04090015">
      <w:start w:val="1"/>
      <w:numFmt w:val="upperLetter"/>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111A3AC4"/>
    <w:multiLevelType w:val="hybridMultilevel"/>
    <w:tmpl w:val="6BBC73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402812"/>
    <w:multiLevelType w:val="hybridMultilevel"/>
    <w:tmpl w:val="CF9A06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6959"/>
    <w:multiLevelType w:val="hybridMultilevel"/>
    <w:tmpl w:val="A9B615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F386F"/>
    <w:multiLevelType w:val="hybridMultilevel"/>
    <w:tmpl w:val="98F4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15B3B"/>
    <w:multiLevelType w:val="hybridMultilevel"/>
    <w:tmpl w:val="5F1E5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B274E"/>
    <w:multiLevelType w:val="hybridMultilevel"/>
    <w:tmpl w:val="FD86808E"/>
    <w:lvl w:ilvl="0" w:tplc="3D5AF4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C6CAB"/>
    <w:multiLevelType w:val="hybridMultilevel"/>
    <w:tmpl w:val="7284B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2A028B"/>
    <w:multiLevelType w:val="hybridMultilevel"/>
    <w:tmpl w:val="8B3CE20E"/>
    <w:lvl w:ilvl="0" w:tplc="AF88AAD2">
      <w:start w:val="1"/>
      <w:numFmt w:val="upperRoman"/>
      <w:lvlText w:val="%1."/>
      <w:lvlJc w:val="right"/>
      <w:pPr>
        <w:ind w:left="360"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A27064B"/>
    <w:multiLevelType w:val="hybridMultilevel"/>
    <w:tmpl w:val="40D0D2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B11D2"/>
    <w:multiLevelType w:val="hybridMultilevel"/>
    <w:tmpl w:val="8FDED7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F22F2"/>
    <w:multiLevelType w:val="hybridMultilevel"/>
    <w:tmpl w:val="8758B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900DA"/>
    <w:multiLevelType w:val="hybridMultilevel"/>
    <w:tmpl w:val="E1E6D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10B67"/>
    <w:multiLevelType w:val="hybridMultilevel"/>
    <w:tmpl w:val="33465A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C4BB6"/>
    <w:multiLevelType w:val="hybridMultilevel"/>
    <w:tmpl w:val="AFF61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4374A"/>
    <w:multiLevelType w:val="hybridMultilevel"/>
    <w:tmpl w:val="348A11B2"/>
    <w:lvl w:ilvl="0" w:tplc="38090013">
      <w:start w:val="1"/>
      <w:numFmt w:val="upperRoman"/>
      <w:lvlText w:val="%1."/>
      <w:lvlJc w:val="right"/>
      <w:pPr>
        <w:ind w:left="1778" w:hanging="360"/>
      </w:pPr>
    </w:lvl>
    <w:lvl w:ilvl="1" w:tplc="3809000F">
      <w:start w:val="1"/>
      <w:numFmt w:val="decimal"/>
      <w:lvlText w:val="%2."/>
      <w:lvlJc w:val="left"/>
      <w:pPr>
        <w:ind w:left="177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6">
    <w:nsid w:val="72492EC9"/>
    <w:multiLevelType w:val="hybridMultilevel"/>
    <w:tmpl w:val="FD38FAC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9FB77E5"/>
    <w:multiLevelType w:val="hybridMultilevel"/>
    <w:tmpl w:val="DE0855EC"/>
    <w:lvl w:ilvl="0" w:tplc="C0A053DA">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1"/>
  </w:num>
  <w:num w:numId="2">
    <w:abstractNumId w:val="2"/>
  </w:num>
  <w:num w:numId="3">
    <w:abstractNumId w:val="13"/>
  </w:num>
  <w:num w:numId="4">
    <w:abstractNumId w:val="9"/>
  </w:num>
  <w:num w:numId="5">
    <w:abstractNumId w:val="14"/>
  </w:num>
  <w:num w:numId="6">
    <w:abstractNumId w:val="10"/>
  </w:num>
  <w:num w:numId="7">
    <w:abstractNumId w:val="8"/>
  </w:num>
  <w:num w:numId="8">
    <w:abstractNumId w:val="17"/>
  </w:num>
  <w:num w:numId="9">
    <w:abstractNumId w:val="12"/>
  </w:num>
  <w:num w:numId="10">
    <w:abstractNumId w:val="7"/>
  </w:num>
  <w:num w:numId="11">
    <w:abstractNumId w:val="5"/>
  </w:num>
  <w:num w:numId="12">
    <w:abstractNumId w:val="0"/>
  </w:num>
  <w:num w:numId="13">
    <w:abstractNumId w:val="4"/>
  </w:num>
  <w:num w:numId="14">
    <w:abstractNumId w:val="16"/>
  </w:num>
  <w:num w:numId="15">
    <w:abstractNumId w:val="15"/>
  </w:num>
  <w:num w:numId="16">
    <w:abstractNumId w:val="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3B99"/>
    <w:rsid w:val="00172BC6"/>
    <w:rsid w:val="002A493D"/>
    <w:rsid w:val="002D7E9A"/>
    <w:rsid w:val="00340F01"/>
    <w:rsid w:val="00380CA5"/>
    <w:rsid w:val="004368D4"/>
    <w:rsid w:val="004E3B99"/>
    <w:rsid w:val="004F4DA8"/>
    <w:rsid w:val="00522CE2"/>
    <w:rsid w:val="005C58E1"/>
    <w:rsid w:val="00657780"/>
    <w:rsid w:val="006A4A6C"/>
    <w:rsid w:val="006B5937"/>
    <w:rsid w:val="00844B45"/>
    <w:rsid w:val="008E6CBB"/>
    <w:rsid w:val="008F00FA"/>
    <w:rsid w:val="009A3FE2"/>
    <w:rsid w:val="009B538C"/>
    <w:rsid w:val="009F23C1"/>
    <w:rsid w:val="009F51D0"/>
    <w:rsid w:val="009F6891"/>
    <w:rsid w:val="00AA7524"/>
    <w:rsid w:val="00B462FC"/>
    <w:rsid w:val="00BB729F"/>
    <w:rsid w:val="00BD549E"/>
    <w:rsid w:val="00BF1D37"/>
    <w:rsid w:val="00C01C73"/>
    <w:rsid w:val="00C31D40"/>
    <w:rsid w:val="00D22490"/>
    <w:rsid w:val="00D5724A"/>
    <w:rsid w:val="00D71588"/>
    <w:rsid w:val="00E411AD"/>
    <w:rsid w:val="00E53FB2"/>
    <w:rsid w:val="00E61334"/>
    <w:rsid w:val="00E6362D"/>
    <w:rsid w:val="00EC6D4B"/>
    <w:rsid w:val="00F07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3B99"/>
    <w:pPr>
      <w:pBdr>
        <w:top w:val="nil"/>
        <w:left w:val="nil"/>
        <w:bottom w:val="nil"/>
        <w:right w:val="nil"/>
        <w:between w:val="nil"/>
        <w:bar w:val="nil"/>
      </w:pBdr>
      <w:spacing w:line="276" w:lineRule="auto"/>
      <w:jc w:val="left"/>
    </w:pPr>
    <w:rPr>
      <w:rFonts w:ascii="Calibri" w:eastAsia="Calibri" w:hAnsi="Calibri" w:cs="Calibri"/>
      <w:color w:val="000000"/>
      <w:u w:color="000000"/>
      <w:bdr w:val="nil"/>
      <w:lang w:eastAsia="en-ID"/>
    </w:rPr>
  </w:style>
  <w:style w:type="paragraph" w:styleId="ListParagraph">
    <w:name w:val="List Paragraph"/>
    <w:basedOn w:val="Normal"/>
    <w:uiPriority w:val="34"/>
    <w:qFormat/>
    <w:rsid w:val="002A493D"/>
    <w:pPr>
      <w:ind w:left="720"/>
      <w:contextualSpacing/>
    </w:pPr>
  </w:style>
  <w:style w:type="paragraph" w:styleId="FootnoteText">
    <w:name w:val="footnote text"/>
    <w:basedOn w:val="Normal"/>
    <w:link w:val="FootnoteTextChar"/>
    <w:uiPriority w:val="99"/>
    <w:unhideWhenUsed/>
    <w:rsid w:val="002A493D"/>
    <w:pPr>
      <w:spacing w:after="0" w:line="240" w:lineRule="auto"/>
    </w:pPr>
    <w:rPr>
      <w:sz w:val="20"/>
      <w:szCs w:val="20"/>
    </w:rPr>
  </w:style>
  <w:style w:type="character" w:customStyle="1" w:styleId="FootnoteTextChar">
    <w:name w:val="Footnote Text Char"/>
    <w:basedOn w:val="DefaultParagraphFont"/>
    <w:link w:val="FootnoteText"/>
    <w:uiPriority w:val="99"/>
    <w:rsid w:val="002A493D"/>
    <w:rPr>
      <w:sz w:val="20"/>
      <w:szCs w:val="20"/>
    </w:rPr>
  </w:style>
  <w:style w:type="character" w:styleId="FootnoteReference">
    <w:name w:val="footnote reference"/>
    <w:basedOn w:val="DefaultParagraphFont"/>
    <w:uiPriority w:val="99"/>
    <w:semiHidden/>
    <w:unhideWhenUsed/>
    <w:rsid w:val="002A493D"/>
    <w:rPr>
      <w:vertAlign w:val="superscript"/>
    </w:rPr>
  </w:style>
  <w:style w:type="paragraph" w:styleId="NormalWeb">
    <w:name w:val="Normal (Web)"/>
    <w:basedOn w:val="Normal"/>
    <w:rsid w:val="00E6362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4368D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AA7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3B99"/>
    <w:pPr>
      <w:pBdr>
        <w:top w:val="nil"/>
        <w:left w:val="nil"/>
        <w:bottom w:val="nil"/>
        <w:right w:val="nil"/>
        <w:between w:val="nil"/>
        <w:bar w:val="nil"/>
      </w:pBdr>
      <w:spacing w:line="276" w:lineRule="auto"/>
      <w:jc w:val="left"/>
    </w:pPr>
    <w:rPr>
      <w:rFonts w:ascii="Calibri" w:eastAsia="Calibri" w:hAnsi="Calibri" w:cs="Calibri"/>
      <w:color w:val="000000"/>
      <w:u w:color="000000"/>
      <w:bdr w:val="nil"/>
      <w:lang w:eastAsia="en-ID"/>
    </w:rPr>
  </w:style>
  <w:style w:type="paragraph" w:styleId="ListParagraph">
    <w:name w:val="List Paragraph"/>
    <w:basedOn w:val="Normal"/>
    <w:uiPriority w:val="34"/>
    <w:qFormat/>
    <w:rsid w:val="002A493D"/>
    <w:pPr>
      <w:ind w:left="720"/>
      <w:contextualSpacing/>
    </w:pPr>
  </w:style>
  <w:style w:type="paragraph" w:styleId="FootnoteText">
    <w:name w:val="footnote text"/>
    <w:basedOn w:val="Normal"/>
    <w:link w:val="FootnoteTextChar"/>
    <w:uiPriority w:val="99"/>
    <w:unhideWhenUsed/>
    <w:rsid w:val="002A493D"/>
    <w:pPr>
      <w:spacing w:after="0" w:line="240" w:lineRule="auto"/>
    </w:pPr>
    <w:rPr>
      <w:sz w:val="20"/>
      <w:szCs w:val="20"/>
    </w:rPr>
  </w:style>
  <w:style w:type="character" w:customStyle="1" w:styleId="FootnoteTextChar">
    <w:name w:val="Footnote Text Char"/>
    <w:basedOn w:val="DefaultParagraphFont"/>
    <w:link w:val="FootnoteText"/>
    <w:uiPriority w:val="99"/>
    <w:rsid w:val="002A493D"/>
    <w:rPr>
      <w:sz w:val="20"/>
      <w:szCs w:val="20"/>
    </w:rPr>
  </w:style>
  <w:style w:type="character" w:styleId="FootnoteReference">
    <w:name w:val="footnote reference"/>
    <w:basedOn w:val="DefaultParagraphFont"/>
    <w:uiPriority w:val="99"/>
    <w:semiHidden/>
    <w:unhideWhenUsed/>
    <w:rsid w:val="002A493D"/>
    <w:rPr>
      <w:vertAlign w:val="superscript"/>
    </w:rPr>
  </w:style>
  <w:style w:type="paragraph" w:styleId="NormalWeb">
    <w:name w:val="Normal (Web)"/>
    <w:basedOn w:val="Normal"/>
    <w:rsid w:val="00E6362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4368D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AA7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ndrisma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PC</cp:lastModifiedBy>
  <cp:revision>6</cp:revision>
  <dcterms:created xsi:type="dcterms:W3CDTF">2020-09-27T16:04:00Z</dcterms:created>
  <dcterms:modified xsi:type="dcterms:W3CDTF">2021-02-26T09:49:00Z</dcterms:modified>
</cp:coreProperties>
</file>