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C7" w:rsidRDefault="002968C7" w:rsidP="00170B51">
      <w:pPr>
        <w:spacing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THE POTENCY OF NUTGRASS </w:t>
      </w:r>
      <w:r w:rsidR="00442BE4">
        <w:rPr>
          <w:rFonts w:asciiTheme="majorBidi" w:hAnsiTheme="majorBidi" w:cstheme="majorBidi"/>
          <w:b/>
          <w:bCs/>
          <w:sz w:val="28"/>
          <w:szCs w:val="28"/>
        </w:rPr>
        <w:t>RHI</w:t>
      </w:r>
      <w:r>
        <w:rPr>
          <w:rFonts w:asciiTheme="majorBidi" w:hAnsiTheme="majorBidi" w:cstheme="majorBidi"/>
          <w:b/>
          <w:bCs/>
          <w:sz w:val="28"/>
          <w:szCs w:val="28"/>
        </w:rPr>
        <w:t>ZOMES (</w:t>
      </w:r>
      <w:r w:rsidRPr="002968C7">
        <w:rPr>
          <w:rFonts w:asciiTheme="majorBidi" w:hAnsiTheme="majorBidi" w:cstheme="majorBidi"/>
          <w:b/>
          <w:bCs/>
          <w:i/>
          <w:sz w:val="28"/>
          <w:szCs w:val="28"/>
        </w:rPr>
        <w:t>Cyperus rotundus</w:t>
      </w:r>
      <w:r>
        <w:rPr>
          <w:rFonts w:asciiTheme="majorBidi" w:hAnsiTheme="majorBidi" w:cstheme="majorBidi"/>
          <w:b/>
          <w:bCs/>
          <w:sz w:val="28"/>
          <w:szCs w:val="28"/>
        </w:rPr>
        <w:t xml:space="preserve"> L.) </w:t>
      </w:r>
      <w:r w:rsidR="00442BE4">
        <w:rPr>
          <w:rFonts w:asciiTheme="majorBidi" w:hAnsiTheme="majorBidi" w:cstheme="majorBidi"/>
          <w:b/>
          <w:bCs/>
          <w:sz w:val="28"/>
          <w:szCs w:val="28"/>
        </w:rPr>
        <w:t xml:space="preserve">EXTRACT </w:t>
      </w:r>
      <w:r>
        <w:rPr>
          <w:rFonts w:asciiTheme="majorBidi" w:hAnsiTheme="majorBidi" w:cstheme="majorBidi"/>
          <w:b/>
          <w:bCs/>
          <w:sz w:val="28"/>
          <w:szCs w:val="28"/>
        </w:rPr>
        <w:t>AS ANTIOXIDANT AGENT</w:t>
      </w:r>
    </w:p>
    <w:p w:rsidR="002E5732" w:rsidRPr="007023B0" w:rsidRDefault="004D41A7" w:rsidP="00170B51">
      <w:pPr>
        <w:spacing w:after="0" w:line="240" w:lineRule="auto"/>
        <w:jc w:val="center"/>
        <w:rPr>
          <w:rFonts w:asciiTheme="majorBidi" w:hAnsiTheme="majorBidi" w:cstheme="majorBidi"/>
          <w:b/>
          <w:bCs/>
          <w:vertAlign w:val="superscript"/>
        </w:rPr>
      </w:pPr>
      <w:r>
        <w:rPr>
          <w:rFonts w:asciiTheme="majorBidi" w:hAnsiTheme="majorBidi" w:cstheme="majorBidi"/>
          <w:b/>
          <w:bCs/>
        </w:rPr>
        <w:t>Nurul Utami</w:t>
      </w:r>
      <w:r w:rsidR="00571786" w:rsidRPr="00EC346B">
        <w:rPr>
          <w:rFonts w:asciiTheme="majorBidi" w:hAnsiTheme="majorBidi" w:cstheme="majorBidi"/>
          <w:b/>
          <w:bCs/>
          <w:vertAlign w:val="superscript"/>
          <w:lang w:val="id-ID"/>
        </w:rPr>
        <w:t>1</w:t>
      </w:r>
      <w:r w:rsidR="00364F90" w:rsidRPr="00EC346B">
        <w:rPr>
          <w:rFonts w:asciiTheme="majorBidi" w:hAnsiTheme="majorBidi" w:cstheme="majorBidi"/>
          <w:b/>
          <w:bCs/>
          <w:vertAlign w:val="superscript"/>
        </w:rPr>
        <w:t>*</w:t>
      </w:r>
      <w:r w:rsidR="00991490" w:rsidRPr="00EC346B">
        <w:rPr>
          <w:rFonts w:asciiTheme="majorBidi" w:hAnsiTheme="majorBidi" w:cstheme="majorBidi"/>
          <w:b/>
          <w:bCs/>
        </w:rPr>
        <w:t xml:space="preserve">, </w:t>
      </w:r>
      <w:r>
        <w:rPr>
          <w:rFonts w:asciiTheme="majorBidi" w:hAnsiTheme="majorBidi" w:cstheme="majorBidi"/>
          <w:b/>
          <w:bCs/>
        </w:rPr>
        <w:t>Waluyo Rudianto</w:t>
      </w:r>
      <w:r w:rsidR="00571786" w:rsidRPr="00EC346B">
        <w:rPr>
          <w:rFonts w:asciiTheme="majorBidi" w:hAnsiTheme="majorBidi" w:cstheme="majorBidi"/>
          <w:b/>
          <w:bCs/>
          <w:vertAlign w:val="superscript"/>
          <w:lang w:val="id-ID"/>
        </w:rPr>
        <w:t>2</w:t>
      </w:r>
      <w:r w:rsidR="00BB36B2">
        <w:rPr>
          <w:rFonts w:asciiTheme="majorBidi" w:hAnsiTheme="majorBidi" w:cstheme="majorBidi"/>
          <w:b/>
          <w:bCs/>
        </w:rPr>
        <w:t xml:space="preserve">, </w:t>
      </w:r>
      <w:r>
        <w:rPr>
          <w:rFonts w:asciiTheme="majorBidi" w:hAnsiTheme="majorBidi" w:cstheme="majorBidi"/>
          <w:b/>
          <w:bCs/>
        </w:rPr>
        <w:t>Giska Tri Putri</w:t>
      </w:r>
      <w:r w:rsidR="00BB36B2">
        <w:rPr>
          <w:rFonts w:asciiTheme="majorBidi" w:hAnsiTheme="majorBidi" w:cstheme="majorBidi"/>
          <w:b/>
          <w:bCs/>
          <w:vertAlign w:val="superscript"/>
        </w:rPr>
        <w:t>3</w:t>
      </w:r>
      <w:r w:rsidR="007023B0">
        <w:rPr>
          <w:rFonts w:asciiTheme="majorBidi" w:hAnsiTheme="majorBidi" w:cstheme="majorBidi"/>
          <w:b/>
          <w:bCs/>
        </w:rPr>
        <w:t xml:space="preserve">, </w:t>
      </w:r>
      <w:r>
        <w:rPr>
          <w:rFonts w:asciiTheme="majorBidi" w:hAnsiTheme="majorBidi" w:cstheme="majorBidi"/>
          <w:b/>
          <w:bCs/>
        </w:rPr>
        <w:t>Mutiara Fauza</w:t>
      </w:r>
      <w:r w:rsidR="007023B0">
        <w:rPr>
          <w:rFonts w:asciiTheme="majorBidi" w:hAnsiTheme="majorBidi" w:cstheme="majorBidi"/>
          <w:b/>
          <w:bCs/>
          <w:vertAlign w:val="superscript"/>
        </w:rPr>
        <w:t>4</w:t>
      </w:r>
    </w:p>
    <w:p w:rsidR="001134F5" w:rsidRPr="009569F9" w:rsidRDefault="00BB36B2" w:rsidP="00170B51">
      <w:pPr>
        <w:spacing w:after="0" w:line="240" w:lineRule="auto"/>
        <w:jc w:val="center"/>
        <w:rPr>
          <w:rFonts w:asciiTheme="majorBidi" w:hAnsiTheme="majorBidi" w:cstheme="majorBidi"/>
          <w:iCs/>
          <w:sz w:val="20"/>
          <w:szCs w:val="20"/>
          <w:vertAlign w:val="superscript"/>
          <w:lang w:val="id-ID"/>
        </w:rPr>
      </w:pPr>
      <w:r>
        <w:rPr>
          <w:rFonts w:asciiTheme="majorBidi" w:hAnsiTheme="majorBidi" w:cstheme="majorBidi"/>
          <w:iCs/>
          <w:sz w:val="20"/>
          <w:szCs w:val="20"/>
        </w:rPr>
        <w:t>Department of Anatomy, Histology, and Anatomical Pathology Faculty of Medicine, Universitas Lampung</w:t>
      </w:r>
      <w:r w:rsidR="00991490" w:rsidRPr="009569F9">
        <w:rPr>
          <w:rFonts w:asciiTheme="majorBidi" w:hAnsiTheme="majorBidi" w:cstheme="majorBidi"/>
          <w:iCs/>
          <w:sz w:val="20"/>
          <w:szCs w:val="20"/>
          <w:vertAlign w:val="superscript"/>
        </w:rPr>
        <w:t>1,2</w:t>
      </w:r>
    </w:p>
    <w:p w:rsidR="004D41A7" w:rsidRPr="004D41A7" w:rsidRDefault="004D41A7" w:rsidP="00170B51">
      <w:pPr>
        <w:spacing w:after="0" w:line="240" w:lineRule="auto"/>
        <w:jc w:val="center"/>
        <w:rPr>
          <w:rFonts w:asciiTheme="majorBidi" w:hAnsiTheme="majorBidi" w:cstheme="majorBidi"/>
          <w:sz w:val="20"/>
          <w:szCs w:val="20"/>
        </w:rPr>
      </w:pPr>
      <w:r>
        <w:rPr>
          <w:rFonts w:asciiTheme="majorBidi" w:hAnsiTheme="majorBidi" w:cstheme="majorBidi"/>
          <w:iCs/>
          <w:sz w:val="20"/>
          <w:szCs w:val="20"/>
        </w:rPr>
        <w:t xml:space="preserve">Department of </w:t>
      </w:r>
      <w:r w:rsidR="00B86325">
        <w:rPr>
          <w:rFonts w:asciiTheme="majorBidi" w:hAnsiTheme="majorBidi" w:cstheme="majorBidi"/>
          <w:iCs/>
          <w:sz w:val="20"/>
          <w:szCs w:val="20"/>
        </w:rPr>
        <w:t xml:space="preserve">Biochemistry, </w:t>
      </w:r>
      <w:r w:rsidRPr="00B86325">
        <w:rPr>
          <w:rFonts w:asciiTheme="majorBidi" w:hAnsiTheme="majorBidi" w:cstheme="majorBidi"/>
          <w:iCs/>
          <w:sz w:val="20"/>
          <w:szCs w:val="20"/>
        </w:rPr>
        <w:t xml:space="preserve">Biology Molecular and Physiology </w:t>
      </w:r>
      <w:r>
        <w:rPr>
          <w:rFonts w:asciiTheme="majorBidi" w:hAnsiTheme="majorBidi" w:cstheme="majorBidi"/>
          <w:iCs/>
          <w:sz w:val="20"/>
          <w:szCs w:val="20"/>
        </w:rPr>
        <w:t>Faculty of Medicine, Universitas Lampung</w:t>
      </w:r>
      <w:r>
        <w:rPr>
          <w:rFonts w:asciiTheme="majorBidi" w:hAnsiTheme="majorBidi" w:cstheme="majorBidi"/>
          <w:iCs/>
          <w:sz w:val="20"/>
          <w:szCs w:val="20"/>
          <w:vertAlign w:val="superscript"/>
        </w:rPr>
        <w:t>3</w:t>
      </w:r>
    </w:p>
    <w:p w:rsidR="004D41A7" w:rsidRPr="004D41A7" w:rsidRDefault="004D41A7" w:rsidP="00170B51">
      <w:pPr>
        <w:spacing w:after="0" w:line="240" w:lineRule="auto"/>
        <w:jc w:val="center"/>
        <w:rPr>
          <w:rFonts w:asciiTheme="majorBidi" w:hAnsiTheme="majorBidi" w:cstheme="majorBidi"/>
          <w:sz w:val="20"/>
          <w:szCs w:val="20"/>
        </w:rPr>
      </w:pPr>
      <w:r>
        <w:rPr>
          <w:rFonts w:asciiTheme="majorBidi" w:hAnsiTheme="majorBidi" w:cstheme="majorBidi"/>
          <w:iCs/>
          <w:sz w:val="20"/>
          <w:szCs w:val="20"/>
        </w:rPr>
        <w:t>Student of Faculty of Medicine, Universitas Lampung</w:t>
      </w:r>
      <w:r>
        <w:rPr>
          <w:rFonts w:asciiTheme="majorBidi" w:hAnsiTheme="majorBidi" w:cstheme="majorBidi"/>
          <w:iCs/>
          <w:sz w:val="20"/>
          <w:szCs w:val="20"/>
          <w:vertAlign w:val="superscript"/>
        </w:rPr>
        <w:t>4</w:t>
      </w:r>
    </w:p>
    <w:p w:rsidR="00C92257" w:rsidRPr="009569F9" w:rsidRDefault="004D41A7" w:rsidP="00170B51">
      <w:pPr>
        <w:spacing w:after="0" w:line="240" w:lineRule="auto"/>
        <w:jc w:val="center"/>
        <w:rPr>
          <w:rFonts w:asciiTheme="majorBidi" w:hAnsiTheme="majorBidi" w:cstheme="majorBidi"/>
          <w:i/>
          <w:sz w:val="20"/>
          <w:szCs w:val="20"/>
        </w:rPr>
        <w:sectPr w:rsidR="00C92257" w:rsidRPr="009569F9" w:rsidSect="00D55582">
          <w:headerReference w:type="default" r:id="rId8"/>
          <w:pgSz w:w="11907" w:h="16839" w:code="9"/>
          <w:pgMar w:top="1907" w:right="1440" w:bottom="1440" w:left="1440" w:header="720" w:footer="720" w:gutter="0"/>
          <w:cols w:space="720"/>
          <w:docGrid w:linePitch="360"/>
        </w:sectPr>
      </w:pPr>
      <w:r>
        <w:rPr>
          <w:rFonts w:asciiTheme="majorBidi" w:hAnsiTheme="majorBidi" w:cstheme="majorBidi"/>
          <w:i/>
          <w:sz w:val="20"/>
          <w:szCs w:val="20"/>
        </w:rPr>
        <w:t>Corresponding author</w:t>
      </w:r>
      <w:r w:rsidR="00BB36B2">
        <w:rPr>
          <w:rFonts w:asciiTheme="majorBidi" w:hAnsiTheme="majorBidi" w:cstheme="majorBidi"/>
          <w:i/>
          <w:sz w:val="20"/>
          <w:szCs w:val="20"/>
        </w:rPr>
        <w:t xml:space="preserve">: </w:t>
      </w:r>
      <w:r>
        <w:rPr>
          <w:rFonts w:asciiTheme="majorBidi" w:hAnsiTheme="majorBidi" w:cstheme="majorBidi"/>
          <w:i/>
          <w:sz w:val="20"/>
          <w:szCs w:val="20"/>
        </w:rPr>
        <w:t>nurulutami</w:t>
      </w:r>
      <w:r w:rsidR="00BB36B2">
        <w:rPr>
          <w:rFonts w:asciiTheme="majorBidi" w:hAnsiTheme="majorBidi" w:cstheme="majorBidi"/>
          <w:i/>
          <w:sz w:val="20"/>
          <w:szCs w:val="20"/>
        </w:rPr>
        <w:t>@fk.unila.ac.id</w:t>
      </w:r>
      <w:r w:rsidR="00991490" w:rsidRPr="009569F9">
        <w:rPr>
          <w:rFonts w:asciiTheme="majorBidi" w:hAnsiTheme="majorBidi" w:cstheme="majorBidi"/>
          <w:i/>
          <w:sz w:val="20"/>
          <w:szCs w:val="20"/>
          <w:vertAlign w:val="superscript"/>
        </w:rPr>
        <w:t>1</w:t>
      </w:r>
      <w:r w:rsidR="00364F90" w:rsidRPr="009569F9">
        <w:rPr>
          <w:rFonts w:asciiTheme="majorBidi" w:hAnsiTheme="majorBidi" w:cstheme="majorBidi"/>
          <w:i/>
          <w:sz w:val="20"/>
          <w:szCs w:val="20"/>
          <w:vertAlign w:val="superscript"/>
        </w:rPr>
        <w:t>*</w:t>
      </w:r>
    </w:p>
    <w:p w:rsidR="005B007F" w:rsidRDefault="005B007F" w:rsidP="00981FF1">
      <w:pPr>
        <w:spacing w:line="240" w:lineRule="auto"/>
        <w:contextualSpacing/>
        <w:jc w:val="both"/>
        <w:rPr>
          <w:rFonts w:asciiTheme="majorBidi" w:hAnsiTheme="majorBidi" w:cstheme="majorBidi"/>
          <w:sz w:val="20"/>
          <w:szCs w:val="20"/>
        </w:rPr>
      </w:pPr>
    </w:p>
    <w:p w:rsidR="005B007F" w:rsidRDefault="005B007F" w:rsidP="00981FF1">
      <w:pPr>
        <w:spacing w:line="240" w:lineRule="auto"/>
        <w:contextualSpacing/>
        <w:jc w:val="both"/>
        <w:rPr>
          <w:rFonts w:asciiTheme="majorBidi" w:hAnsiTheme="majorBidi" w:cstheme="majorBidi"/>
          <w:sz w:val="20"/>
          <w:szCs w:val="20"/>
        </w:rPr>
      </w:pPr>
    </w:p>
    <w:p w:rsidR="006C47B3" w:rsidRDefault="000A514C" w:rsidP="00170B51">
      <w:pPr>
        <w:spacing w:before="120" w:after="0" w:line="240" w:lineRule="auto"/>
        <w:jc w:val="center"/>
        <w:rPr>
          <w:rFonts w:asciiTheme="majorBidi" w:hAnsiTheme="majorBidi" w:cstheme="majorBidi"/>
          <w:b/>
        </w:rPr>
      </w:pPr>
      <w:r w:rsidRPr="000A514C">
        <w:rPr>
          <w:rFonts w:asciiTheme="majorBidi" w:hAnsiTheme="majorBidi" w:cstheme="majorBidi"/>
          <w:b/>
        </w:rPr>
        <w:t>Abstrac</w:t>
      </w:r>
      <w:r w:rsidR="006464C7">
        <w:rPr>
          <w:rFonts w:asciiTheme="majorBidi" w:hAnsiTheme="majorBidi" w:cstheme="majorBidi"/>
          <w:b/>
        </w:rPr>
        <w:t>t</w:t>
      </w:r>
    </w:p>
    <w:p w:rsidR="000A514C" w:rsidRPr="000A514C" w:rsidRDefault="000A514C" w:rsidP="00170B51">
      <w:pPr>
        <w:spacing w:before="120" w:after="60" w:line="240" w:lineRule="auto"/>
        <w:jc w:val="both"/>
        <w:rPr>
          <w:rFonts w:asciiTheme="majorBidi" w:hAnsiTheme="majorBidi" w:cstheme="majorBidi"/>
          <w:bCs/>
        </w:rPr>
      </w:pPr>
      <w:r w:rsidRPr="000A514C">
        <w:rPr>
          <w:rFonts w:asciiTheme="majorBidi" w:hAnsiTheme="majorBidi" w:cstheme="majorBidi"/>
          <w:b/>
        </w:rPr>
        <w:t>Purpose:</w:t>
      </w:r>
      <w:r w:rsidR="00442BE4">
        <w:rPr>
          <w:rFonts w:asciiTheme="majorBidi" w:hAnsiTheme="majorBidi" w:cstheme="majorBidi"/>
          <w:b/>
        </w:rPr>
        <w:t xml:space="preserve"> </w:t>
      </w:r>
      <w:r w:rsidR="00E040B0">
        <w:rPr>
          <w:rFonts w:asciiTheme="majorBidi" w:hAnsiTheme="majorBidi" w:cstheme="majorBidi"/>
          <w:bCs/>
        </w:rPr>
        <w:t xml:space="preserve">This study aims to </w:t>
      </w:r>
      <w:r w:rsidR="00442BE4">
        <w:rPr>
          <w:rFonts w:asciiTheme="majorBidi" w:hAnsiTheme="majorBidi" w:cstheme="majorBidi"/>
          <w:bCs/>
        </w:rPr>
        <w:t xml:space="preserve">identify </w:t>
      </w:r>
      <w:r w:rsidR="00E040B0">
        <w:rPr>
          <w:rFonts w:asciiTheme="majorBidi" w:hAnsiTheme="majorBidi" w:cstheme="majorBidi"/>
          <w:bCs/>
        </w:rPr>
        <w:t xml:space="preserve">the potency of </w:t>
      </w:r>
      <w:r w:rsidR="00442BE4">
        <w:rPr>
          <w:rFonts w:asciiTheme="majorBidi" w:hAnsiTheme="majorBidi" w:cstheme="majorBidi"/>
          <w:bCs/>
        </w:rPr>
        <w:t>antioxidant agent in nutgrass rhizomes (</w:t>
      </w:r>
      <w:r w:rsidR="00442BE4">
        <w:rPr>
          <w:rFonts w:asciiTheme="majorBidi" w:hAnsiTheme="majorBidi" w:cstheme="majorBidi"/>
          <w:bCs/>
          <w:i/>
        </w:rPr>
        <w:t xml:space="preserve">Cyperus rotundus </w:t>
      </w:r>
      <w:r w:rsidR="00442BE4">
        <w:rPr>
          <w:rFonts w:asciiTheme="majorBidi" w:hAnsiTheme="majorBidi" w:cstheme="majorBidi"/>
          <w:bCs/>
        </w:rPr>
        <w:t>L.) extract</w:t>
      </w:r>
      <w:r w:rsidR="00C00FA9">
        <w:rPr>
          <w:rFonts w:asciiTheme="majorBidi" w:hAnsiTheme="majorBidi" w:cstheme="majorBidi"/>
          <w:bCs/>
        </w:rPr>
        <w:t>.</w:t>
      </w:r>
    </w:p>
    <w:p w:rsidR="00E040B0" w:rsidRPr="0060602C" w:rsidRDefault="00C5425F" w:rsidP="00170B51">
      <w:pPr>
        <w:spacing w:before="120" w:after="60" w:line="240" w:lineRule="auto"/>
        <w:jc w:val="both"/>
        <w:rPr>
          <w:rFonts w:asciiTheme="majorBidi" w:hAnsiTheme="majorBidi" w:cstheme="majorBidi"/>
        </w:rPr>
      </w:pPr>
      <w:r>
        <w:rPr>
          <w:rFonts w:asciiTheme="majorBidi" w:hAnsiTheme="majorBidi" w:cstheme="majorBidi"/>
          <w:b/>
        </w:rPr>
        <w:t xml:space="preserve">Research </w:t>
      </w:r>
      <w:r w:rsidR="000A514C" w:rsidRPr="000A514C">
        <w:rPr>
          <w:rFonts w:asciiTheme="majorBidi" w:hAnsiTheme="majorBidi" w:cstheme="majorBidi"/>
          <w:b/>
        </w:rPr>
        <w:t>Methodology:</w:t>
      </w:r>
      <w:r w:rsidR="00442BE4">
        <w:rPr>
          <w:rFonts w:asciiTheme="majorBidi" w:hAnsiTheme="majorBidi" w:cstheme="majorBidi"/>
          <w:b/>
        </w:rPr>
        <w:t xml:space="preserve"> </w:t>
      </w:r>
      <w:r w:rsidR="00442BE4" w:rsidRPr="0060602C">
        <w:rPr>
          <w:rFonts w:ascii="HelveticaNeue-Light" w:hAnsi="HelveticaNeue-Light" w:cstheme="majorBidi"/>
          <w:b/>
        </w:rPr>
        <w:t>S</w:t>
      </w:r>
      <w:r w:rsidR="00442BE4" w:rsidRPr="0060602C">
        <w:rPr>
          <w:rFonts w:ascii="HelveticaNeue-Light" w:hAnsi="HelveticaNeue-Light" w:cstheme="majorBidi"/>
        </w:rPr>
        <w:t xml:space="preserve">ample of nutgrass rhizomes were taken from Lampung Province and </w:t>
      </w:r>
      <w:r w:rsidR="007719E4">
        <w:rPr>
          <w:rFonts w:ascii="HelveticaNeue-Light" w:hAnsi="HelveticaNeue-Light" w:cstheme="majorBidi"/>
        </w:rPr>
        <w:t xml:space="preserve">was </w:t>
      </w:r>
      <w:r w:rsidR="00442BE4" w:rsidRPr="0060602C">
        <w:rPr>
          <w:rFonts w:ascii="HelveticaNeue-Light" w:hAnsi="HelveticaNeue-Light" w:cstheme="majorBidi"/>
        </w:rPr>
        <w:t>extracted with ethanol and chloroform solvent.</w:t>
      </w:r>
      <w:r w:rsidR="004600CF" w:rsidRPr="0060602C">
        <w:rPr>
          <w:rFonts w:ascii="HelveticaNeue-Light" w:hAnsi="HelveticaNeue-Light" w:cstheme="majorBidi"/>
        </w:rPr>
        <w:t xml:space="preserve"> Later, those extracts were analyzed by Gas Chromatography Mass Spectrometry (GCMS)</w:t>
      </w:r>
      <w:r w:rsidR="007719E4">
        <w:rPr>
          <w:rFonts w:ascii="HelveticaNeue-Light" w:hAnsi="HelveticaNeue-Light" w:cstheme="majorBidi"/>
        </w:rPr>
        <w:t xml:space="preserve"> and the chemical compound identified </w:t>
      </w:r>
      <w:r w:rsidR="004600CF" w:rsidRPr="0060602C">
        <w:rPr>
          <w:rFonts w:ascii="HelveticaNeue-Light" w:hAnsi="HelveticaNeue-Light" w:cstheme="majorBidi"/>
        </w:rPr>
        <w:t xml:space="preserve">was compared to literature to know the potency of </w:t>
      </w:r>
      <w:r w:rsidR="0060602C" w:rsidRPr="0060602C">
        <w:rPr>
          <w:rFonts w:ascii="HelveticaNeue-Light" w:hAnsi="HelveticaNeue-Light" w:cstheme="majorBidi"/>
        </w:rPr>
        <w:t xml:space="preserve">the </w:t>
      </w:r>
      <w:r w:rsidR="004600CF" w:rsidRPr="0060602C">
        <w:rPr>
          <w:rFonts w:ascii="HelveticaNeue-Light" w:hAnsi="HelveticaNeue-Light" w:cstheme="majorBidi"/>
        </w:rPr>
        <w:t>antioxidant agent</w:t>
      </w:r>
      <w:r w:rsidR="0060602C" w:rsidRPr="0060602C">
        <w:rPr>
          <w:rFonts w:ascii="HelveticaNeue-Light" w:hAnsi="HelveticaNeue-Light" w:cstheme="majorBidi"/>
        </w:rPr>
        <w:t>.</w:t>
      </w:r>
    </w:p>
    <w:p w:rsidR="002C7E29" w:rsidRDefault="00C5425F" w:rsidP="00170B51">
      <w:pPr>
        <w:spacing w:before="120" w:after="60" w:line="240" w:lineRule="auto"/>
        <w:jc w:val="both"/>
        <w:rPr>
          <w:rFonts w:ascii="HelveticaNeue-Light" w:hAnsi="HelveticaNeue-Light"/>
          <w:color w:val="231F20"/>
        </w:rPr>
      </w:pPr>
      <w:r>
        <w:rPr>
          <w:rFonts w:asciiTheme="majorBidi" w:hAnsiTheme="majorBidi" w:cstheme="majorBidi"/>
          <w:b/>
        </w:rPr>
        <w:t>Re</w:t>
      </w:r>
      <w:r w:rsidR="009F78A8">
        <w:rPr>
          <w:rFonts w:asciiTheme="majorBidi" w:hAnsiTheme="majorBidi" w:cstheme="majorBidi"/>
          <w:b/>
        </w:rPr>
        <w:t>s</w:t>
      </w:r>
      <w:r>
        <w:rPr>
          <w:rFonts w:asciiTheme="majorBidi" w:hAnsiTheme="majorBidi" w:cstheme="majorBidi"/>
          <w:b/>
        </w:rPr>
        <w:t>ult</w:t>
      </w:r>
      <w:r w:rsidR="000A514C" w:rsidRPr="000A514C">
        <w:rPr>
          <w:rFonts w:asciiTheme="majorBidi" w:hAnsiTheme="majorBidi" w:cstheme="majorBidi"/>
          <w:b/>
        </w:rPr>
        <w:t>s:</w:t>
      </w:r>
      <w:r w:rsidR="0060602C">
        <w:rPr>
          <w:rFonts w:asciiTheme="majorBidi" w:hAnsiTheme="majorBidi" w:cstheme="majorBidi"/>
          <w:b/>
        </w:rPr>
        <w:t xml:space="preserve"> </w:t>
      </w:r>
      <w:r w:rsidR="00186908">
        <w:rPr>
          <w:rFonts w:ascii="HelveticaNeue-Light" w:hAnsi="HelveticaNeue-Light"/>
          <w:color w:val="231F20"/>
        </w:rPr>
        <w:t xml:space="preserve">This study shows </w:t>
      </w:r>
      <w:r w:rsidR="002C7E29">
        <w:rPr>
          <w:rFonts w:ascii="HelveticaNeue-Light" w:hAnsi="HelveticaNeue-Light"/>
          <w:color w:val="231F20"/>
        </w:rPr>
        <w:t>that i</w:t>
      </w:r>
      <w:r w:rsidR="002C7E29" w:rsidRPr="002C7E29">
        <w:rPr>
          <w:rFonts w:ascii="HelveticaNeue-Light" w:hAnsi="HelveticaNeue-Light"/>
          <w:color w:val="231F20"/>
        </w:rPr>
        <w:t xml:space="preserve">n the nut grass root extract using ethanol solvent, there were 116 compounds with 6 main compounds, meanwhile in the nut grass </w:t>
      </w:r>
      <w:r w:rsidR="002C7E29">
        <w:rPr>
          <w:rFonts w:ascii="HelveticaNeue-Light" w:hAnsi="HelveticaNeue-Light"/>
          <w:color w:val="231F20"/>
        </w:rPr>
        <w:t xml:space="preserve">rhizomes </w:t>
      </w:r>
      <w:r w:rsidR="002C7E29" w:rsidRPr="002C7E29">
        <w:rPr>
          <w:rFonts w:ascii="HelveticaNeue-Light" w:hAnsi="HelveticaNeue-Light"/>
          <w:color w:val="231F20"/>
        </w:rPr>
        <w:t xml:space="preserve">extract using chloroform solvent, of 142 compounds, there were 11 main compounds. Of the 6 main compounds of ethanol extract and 11 main compounds of chloroform extract of nut grass </w:t>
      </w:r>
      <w:r w:rsidR="002C7E29">
        <w:rPr>
          <w:rFonts w:ascii="HelveticaNeue-Light" w:hAnsi="HelveticaNeue-Light"/>
          <w:color w:val="231F20"/>
        </w:rPr>
        <w:t>rhizomes</w:t>
      </w:r>
      <w:r w:rsidR="002C7E29" w:rsidRPr="002C7E29">
        <w:rPr>
          <w:rFonts w:ascii="HelveticaNeue-Light" w:hAnsi="HelveticaNeue-Light"/>
          <w:color w:val="231F20"/>
        </w:rPr>
        <w:t>, which is proven to have potential as an antioxidant agent is α-Copaene.</w:t>
      </w:r>
    </w:p>
    <w:p w:rsidR="002C7E29" w:rsidRDefault="000A514C" w:rsidP="00170B51">
      <w:pPr>
        <w:spacing w:before="120" w:after="60" w:line="240" w:lineRule="auto"/>
        <w:jc w:val="both"/>
        <w:rPr>
          <w:rFonts w:asciiTheme="majorBidi" w:hAnsiTheme="majorBidi" w:cstheme="majorBidi"/>
          <w:lang w:val="en-IN"/>
        </w:rPr>
      </w:pPr>
      <w:r w:rsidRPr="000A514C">
        <w:rPr>
          <w:rFonts w:asciiTheme="majorBidi" w:hAnsiTheme="majorBidi" w:cstheme="majorBidi"/>
          <w:b/>
        </w:rPr>
        <w:t>Limitations:</w:t>
      </w:r>
      <w:r w:rsidR="00622457">
        <w:rPr>
          <w:rFonts w:asciiTheme="majorBidi" w:hAnsiTheme="majorBidi" w:cstheme="majorBidi"/>
          <w:b/>
        </w:rPr>
        <w:t xml:space="preserve"> </w:t>
      </w:r>
      <w:r w:rsidR="00186908">
        <w:rPr>
          <w:rFonts w:asciiTheme="majorBidi" w:hAnsiTheme="majorBidi" w:cstheme="majorBidi"/>
          <w:lang w:val="en-IN"/>
        </w:rPr>
        <w:t xml:space="preserve">This study is </w:t>
      </w:r>
      <w:r w:rsidR="002C7E29" w:rsidRPr="00A24D65">
        <w:rPr>
          <w:rFonts w:asciiTheme="majorBidi" w:hAnsiTheme="majorBidi" w:cstheme="majorBidi"/>
          <w:lang w:val="en-IN"/>
        </w:rPr>
        <w:t xml:space="preserve">limited to the identification </w:t>
      </w:r>
      <w:r w:rsidR="002C7E29">
        <w:rPr>
          <w:rFonts w:asciiTheme="majorBidi" w:hAnsiTheme="majorBidi" w:cstheme="majorBidi"/>
          <w:lang w:val="en-IN"/>
        </w:rPr>
        <w:t xml:space="preserve">of potential antioxidant activity </w:t>
      </w:r>
      <w:r w:rsidR="002C7E29" w:rsidRPr="00A24D65">
        <w:rPr>
          <w:rFonts w:asciiTheme="majorBidi" w:hAnsiTheme="majorBidi" w:cstheme="majorBidi"/>
          <w:lang w:val="en-IN"/>
        </w:rPr>
        <w:t>of the main compound</w:t>
      </w:r>
      <w:r w:rsidR="002C7E29">
        <w:rPr>
          <w:rFonts w:asciiTheme="majorBidi" w:hAnsiTheme="majorBidi" w:cstheme="majorBidi"/>
          <w:lang w:val="en-IN"/>
        </w:rPr>
        <w:t>.</w:t>
      </w:r>
    </w:p>
    <w:p w:rsidR="00AD6503" w:rsidRDefault="00277CAA" w:rsidP="00170B51">
      <w:pPr>
        <w:spacing w:before="120" w:after="60" w:line="240" w:lineRule="auto"/>
        <w:jc w:val="both"/>
        <w:rPr>
          <w:rFonts w:asciiTheme="majorBidi" w:hAnsiTheme="majorBidi" w:cstheme="majorBidi"/>
          <w:bCs/>
        </w:rPr>
      </w:pPr>
      <w:r>
        <w:rPr>
          <w:rFonts w:asciiTheme="majorBidi" w:hAnsiTheme="majorBidi" w:cstheme="majorBidi"/>
          <w:b/>
        </w:rPr>
        <w:t>Contribu</w:t>
      </w:r>
      <w:r w:rsidR="000A514C" w:rsidRPr="000A514C">
        <w:rPr>
          <w:rFonts w:asciiTheme="majorBidi" w:hAnsiTheme="majorBidi" w:cstheme="majorBidi"/>
          <w:b/>
        </w:rPr>
        <w:t>tion:</w:t>
      </w:r>
      <w:r w:rsidR="002C7E29">
        <w:rPr>
          <w:rFonts w:asciiTheme="majorBidi" w:hAnsiTheme="majorBidi" w:cstheme="majorBidi"/>
          <w:b/>
        </w:rPr>
        <w:t xml:space="preserve"> </w:t>
      </w:r>
      <w:r w:rsidR="002C7E29">
        <w:rPr>
          <w:rFonts w:asciiTheme="majorBidi" w:hAnsiTheme="majorBidi" w:cstheme="majorBidi"/>
          <w:bCs/>
        </w:rPr>
        <w:t>This study is potent</w:t>
      </w:r>
      <w:r w:rsidR="00AD6503">
        <w:rPr>
          <w:rFonts w:asciiTheme="majorBidi" w:hAnsiTheme="majorBidi" w:cstheme="majorBidi"/>
          <w:bCs/>
        </w:rPr>
        <w:t xml:space="preserve">ial to be used in the field of </w:t>
      </w:r>
      <w:r w:rsidR="00622457">
        <w:rPr>
          <w:rFonts w:asciiTheme="majorBidi" w:hAnsiTheme="majorBidi" w:cstheme="majorBidi"/>
          <w:bCs/>
        </w:rPr>
        <w:t xml:space="preserve">herbal medicine </w:t>
      </w:r>
      <w:r w:rsidR="00AD6503">
        <w:rPr>
          <w:rFonts w:asciiTheme="majorBidi" w:hAnsiTheme="majorBidi" w:cstheme="majorBidi"/>
          <w:bCs/>
        </w:rPr>
        <w:t>and other field</w:t>
      </w:r>
      <w:r w:rsidR="00A247A2">
        <w:rPr>
          <w:rFonts w:asciiTheme="majorBidi" w:hAnsiTheme="majorBidi" w:cstheme="majorBidi"/>
          <w:bCs/>
        </w:rPr>
        <w:t>s</w:t>
      </w:r>
      <w:r w:rsidR="00AD6503">
        <w:rPr>
          <w:rFonts w:asciiTheme="majorBidi" w:hAnsiTheme="majorBidi" w:cstheme="majorBidi"/>
          <w:bCs/>
        </w:rPr>
        <w:t xml:space="preserve"> relate</w:t>
      </w:r>
      <w:r w:rsidR="00A247A2">
        <w:rPr>
          <w:rFonts w:asciiTheme="majorBidi" w:hAnsiTheme="majorBidi" w:cstheme="majorBidi"/>
          <w:bCs/>
        </w:rPr>
        <w:t>d</w:t>
      </w:r>
      <w:r w:rsidR="00AD6503">
        <w:rPr>
          <w:rFonts w:asciiTheme="majorBidi" w:hAnsiTheme="majorBidi" w:cstheme="majorBidi"/>
          <w:bCs/>
        </w:rPr>
        <w:t xml:space="preserve"> to </w:t>
      </w:r>
      <w:r w:rsidR="00364861">
        <w:rPr>
          <w:rFonts w:asciiTheme="majorBidi" w:hAnsiTheme="majorBidi" w:cstheme="majorBidi"/>
          <w:bCs/>
        </w:rPr>
        <w:t>traditional medicinal plants.</w:t>
      </w:r>
    </w:p>
    <w:p w:rsidR="000A514C" w:rsidRDefault="000A514C" w:rsidP="00170B51">
      <w:pPr>
        <w:spacing w:before="120" w:after="60" w:line="240" w:lineRule="auto"/>
        <w:jc w:val="both"/>
        <w:rPr>
          <w:rFonts w:asciiTheme="majorBidi" w:hAnsiTheme="majorBidi" w:cstheme="majorBidi"/>
          <w:bCs/>
          <w:i/>
          <w:iCs/>
        </w:rPr>
      </w:pPr>
      <w:r w:rsidRPr="003A5C17">
        <w:rPr>
          <w:rFonts w:asciiTheme="majorBidi" w:hAnsiTheme="majorBidi" w:cstheme="majorBidi"/>
          <w:b/>
          <w:i/>
        </w:rPr>
        <w:t>Keywords:</w:t>
      </w:r>
      <w:r w:rsidR="00AD6503">
        <w:rPr>
          <w:rFonts w:asciiTheme="majorBidi" w:hAnsiTheme="majorBidi" w:cstheme="majorBidi"/>
          <w:bCs/>
          <w:i/>
          <w:iCs/>
        </w:rPr>
        <w:t xml:space="preserve"> </w:t>
      </w:r>
      <w:r w:rsidR="00C90A7A">
        <w:rPr>
          <w:rFonts w:asciiTheme="majorBidi" w:hAnsiTheme="majorBidi" w:cstheme="majorBidi"/>
          <w:bCs/>
          <w:i/>
          <w:iCs/>
        </w:rPr>
        <w:t>antioxidant</w:t>
      </w:r>
      <w:r w:rsidR="00AD6503">
        <w:rPr>
          <w:rFonts w:asciiTheme="majorBidi" w:hAnsiTheme="majorBidi" w:cstheme="majorBidi"/>
          <w:bCs/>
          <w:i/>
          <w:iCs/>
        </w:rPr>
        <w:t xml:space="preserve">, </w:t>
      </w:r>
      <w:r w:rsidR="00C90A7A">
        <w:rPr>
          <w:rFonts w:asciiTheme="majorBidi" w:hAnsiTheme="majorBidi" w:cstheme="majorBidi"/>
          <w:bCs/>
          <w:i/>
          <w:iCs/>
        </w:rPr>
        <w:t>nutgrass rhizomes extract</w:t>
      </w:r>
      <w:r w:rsidR="00AD6503">
        <w:rPr>
          <w:rFonts w:asciiTheme="majorBidi" w:hAnsiTheme="majorBidi" w:cstheme="majorBidi"/>
          <w:bCs/>
          <w:i/>
          <w:iCs/>
        </w:rPr>
        <w:t xml:space="preserve">, </w:t>
      </w:r>
      <w:r w:rsidR="00C90A7A">
        <w:rPr>
          <w:rFonts w:asciiTheme="majorBidi" w:hAnsiTheme="majorBidi" w:cstheme="majorBidi"/>
          <w:bCs/>
          <w:i/>
          <w:iCs/>
        </w:rPr>
        <w:t>GCMS</w:t>
      </w:r>
    </w:p>
    <w:p w:rsidR="00170B51" w:rsidRDefault="00170B51" w:rsidP="00170B51">
      <w:pPr>
        <w:pBdr>
          <w:left w:val="single" w:sz="2" w:space="5" w:color="auto"/>
        </w:pBdr>
        <w:spacing w:after="60" w:line="240" w:lineRule="auto"/>
        <w:jc w:val="both"/>
        <w:rPr>
          <w:rFonts w:asciiTheme="majorBidi" w:hAnsiTheme="majorBidi" w:cstheme="majorBidi"/>
          <w:bCs/>
          <w:i/>
          <w:iCs/>
        </w:rPr>
        <w:sectPr w:rsidR="00170B51" w:rsidSect="00170B51">
          <w:footerReference w:type="default" r:id="rId9"/>
          <w:type w:val="continuous"/>
          <w:pgSz w:w="11907" w:h="16839" w:code="9"/>
          <w:pgMar w:top="1440" w:right="1440" w:bottom="1440" w:left="1440" w:header="720" w:footer="720" w:gutter="0"/>
          <w:cols w:space="283"/>
          <w:docGrid w:linePitch="360"/>
        </w:sectPr>
      </w:pPr>
    </w:p>
    <w:p w:rsidR="00DA5557" w:rsidRDefault="00DA5557" w:rsidP="00DA5557">
      <w:pPr>
        <w:spacing w:line="240" w:lineRule="auto"/>
        <w:jc w:val="both"/>
        <w:rPr>
          <w:rFonts w:asciiTheme="majorBidi" w:hAnsiTheme="majorBidi" w:cstheme="majorBidi"/>
          <w:b/>
          <w:bCs/>
          <w:color w:val="FF0000"/>
          <w:sz w:val="28"/>
          <w:szCs w:val="28"/>
          <w:lang w:val="id-ID"/>
        </w:rPr>
      </w:pPr>
    </w:p>
    <w:p w:rsidR="003205F1" w:rsidRPr="003A5C17" w:rsidRDefault="00A80522" w:rsidP="00DA5557">
      <w:pPr>
        <w:spacing w:line="240" w:lineRule="auto"/>
        <w:jc w:val="both"/>
        <w:rPr>
          <w:rFonts w:asciiTheme="majorBidi" w:hAnsiTheme="majorBidi" w:cstheme="majorBidi"/>
          <w:b/>
          <w:bCs/>
        </w:rPr>
      </w:pPr>
      <w:r w:rsidRPr="003A5C17">
        <w:rPr>
          <w:rFonts w:asciiTheme="majorBidi" w:hAnsiTheme="majorBidi" w:cstheme="majorBidi"/>
          <w:b/>
          <w:bCs/>
          <w:lang w:val="id-ID"/>
        </w:rPr>
        <w:t xml:space="preserve">1. </w:t>
      </w:r>
      <w:r w:rsidR="000B6000" w:rsidRPr="003A5C17">
        <w:rPr>
          <w:rFonts w:asciiTheme="majorBidi" w:hAnsiTheme="majorBidi" w:cstheme="majorBidi"/>
          <w:b/>
          <w:bCs/>
        </w:rPr>
        <w:t>INTRODUCTION</w:t>
      </w:r>
    </w:p>
    <w:p w:rsidR="00CD50D2" w:rsidRPr="00CD50D2" w:rsidRDefault="00CD50D2" w:rsidP="00CD50D2">
      <w:pPr>
        <w:autoSpaceDE w:val="0"/>
        <w:autoSpaceDN w:val="0"/>
        <w:adjustRightInd w:val="0"/>
        <w:spacing w:after="0" w:line="240" w:lineRule="auto"/>
        <w:jc w:val="both"/>
        <w:rPr>
          <w:rFonts w:asciiTheme="majorBidi" w:hAnsiTheme="majorBidi" w:cstheme="majorBidi"/>
          <w:lang w:val="en-IN"/>
        </w:rPr>
      </w:pPr>
      <w:r>
        <w:rPr>
          <w:rFonts w:asciiTheme="majorBidi" w:hAnsiTheme="majorBidi" w:cstheme="majorBidi"/>
          <w:lang w:val="en-IN"/>
        </w:rPr>
        <w:tab/>
      </w:r>
      <w:r w:rsidRPr="00CD50D2">
        <w:rPr>
          <w:rFonts w:asciiTheme="majorBidi" w:hAnsiTheme="majorBidi" w:cstheme="majorBidi"/>
          <w:lang w:val="en-IN"/>
        </w:rPr>
        <w:t>Nut grass (Cyperus rotundus L.) is a weed that can absorb large amounts of nutrients compared to other plants. This plant is easy to grow anywhere, easy to maintain, and has high resistance to various external influences. This nature makes nut grasses often destroyed so as not to interfere with the growth of oth</w:t>
      </w:r>
      <w:r>
        <w:rPr>
          <w:rFonts w:asciiTheme="majorBidi" w:hAnsiTheme="majorBidi" w:cstheme="majorBidi"/>
          <w:lang w:val="en-IN"/>
        </w:rPr>
        <w:t xml:space="preserve">er plants </w:t>
      </w:r>
      <w:r>
        <w:rPr>
          <w:rFonts w:asciiTheme="majorBidi" w:hAnsiTheme="majorBidi" w:cstheme="majorBidi"/>
          <w:lang w:val="en-IN"/>
        </w:rPr>
        <w:fldChar w:fldCharType="begin" w:fldLock="1"/>
      </w:r>
      <w:r w:rsidR="00E91FF1">
        <w:rPr>
          <w:rFonts w:asciiTheme="majorBidi" w:hAnsiTheme="majorBidi" w:cstheme="majorBidi"/>
          <w:lang w:val="en-IN"/>
        </w:rPr>
        <w:instrText>ADDIN CSL_CITATION {"citationItems":[{"id":"ITEM-1","itemData":{"author":[{"dropping-particle":"","family":"Erwin","given":"Eucinda","non-dropping-particle":"","parse-names":false,"suffix":""},{"dropping-particle":"","family":"Joko","given":"Tri","non-dropping-particle":"","parse-names":false,"suffix":""},{"dropping-particle":"","family":"Lanang","given":"Hanan","non-dropping-particle":"","parse-names":false,"suffix":""}],"container-title":"Jurnal Kesehatan Masyarakat","id":"ITEM-1","issue":"1","issued":{"date-parts":[["2017"]]},"page":"1-6","title":"Efektifitas Constructed Wetlands Tipe Subsurface Flow System dengan Menggunakan Tanaman Cyperus rotundus untuk Menurunkan Kadar Fosfat dan COD pada Limbah Cair Laundry","type":"article-journal","volume":"5"},"uris":["http://www.mendeley.com/documents/?uuid=c1263274-8480-4820-8f0e-1c73777b8cfc"]}],"mendeley":{"formattedCitation":"(Erwin, Joko and Lanang, 2017)","manualFormatting":"(Erwin et al., 2017)","plainTextFormattedCitation":"(Erwin, Joko and Lanang, 2017)","previouslyFormattedCitation":"(Erwin, Joko and Lanang, 2017)"},"properties":{"noteIndex":0},"schema":"https://github.com/citation-style-language/schema/raw/master/csl-citation.json"}</w:instrText>
      </w:r>
      <w:r>
        <w:rPr>
          <w:rFonts w:asciiTheme="majorBidi" w:hAnsiTheme="majorBidi" w:cstheme="majorBidi"/>
          <w:lang w:val="en-IN"/>
        </w:rPr>
        <w:fldChar w:fldCharType="separate"/>
      </w:r>
      <w:r w:rsidRPr="00CD50D2">
        <w:rPr>
          <w:rFonts w:asciiTheme="majorBidi" w:hAnsiTheme="majorBidi" w:cstheme="majorBidi"/>
          <w:noProof/>
          <w:lang w:val="en-IN"/>
        </w:rPr>
        <w:t>(Erwin</w:t>
      </w:r>
      <w:r w:rsidR="00E91FF1">
        <w:rPr>
          <w:rFonts w:asciiTheme="majorBidi" w:hAnsiTheme="majorBidi" w:cstheme="majorBidi"/>
          <w:noProof/>
          <w:lang w:val="en-IN"/>
        </w:rPr>
        <w:t xml:space="preserve"> </w:t>
      </w:r>
      <w:r w:rsidR="00E91FF1">
        <w:rPr>
          <w:rFonts w:asciiTheme="majorBidi" w:hAnsiTheme="majorBidi" w:cstheme="majorBidi"/>
          <w:i/>
          <w:noProof/>
          <w:lang w:val="en-IN"/>
        </w:rPr>
        <w:t>et al</w:t>
      </w:r>
      <w:r w:rsidR="00E91FF1">
        <w:rPr>
          <w:rFonts w:asciiTheme="majorBidi" w:hAnsiTheme="majorBidi" w:cstheme="majorBidi"/>
          <w:noProof/>
          <w:lang w:val="en-IN"/>
        </w:rPr>
        <w:t>.</w:t>
      </w:r>
      <w:r w:rsidRPr="00CD50D2">
        <w:rPr>
          <w:rFonts w:asciiTheme="majorBidi" w:hAnsiTheme="majorBidi" w:cstheme="majorBidi"/>
          <w:noProof/>
          <w:lang w:val="en-IN"/>
        </w:rPr>
        <w:t>, 2017)</w:t>
      </w:r>
      <w:r>
        <w:rPr>
          <w:rFonts w:asciiTheme="majorBidi" w:hAnsiTheme="majorBidi" w:cstheme="majorBidi"/>
          <w:lang w:val="en-IN"/>
        </w:rPr>
        <w:fldChar w:fldCharType="end"/>
      </w:r>
      <w:r>
        <w:rPr>
          <w:rFonts w:asciiTheme="majorBidi" w:hAnsiTheme="majorBidi" w:cstheme="majorBidi"/>
          <w:lang w:val="en-IN"/>
        </w:rPr>
        <w:t xml:space="preserve">. </w:t>
      </w:r>
      <w:r w:rsidRPr="00CD50D2">
        <w:rPr>
          <w:rFonts w:asciiTheme="majorBidi" w:hAnsiTheme="majorBidi" w:cstheme="majorBidi"/>
          <w:lang w:val="en-IN"/>
        </w:rPr>
        <w:t xml:space="preserve">As a plant, nut grass produces secondary metabolites that function to protect it from environmental threats, such as insect, bacteria, fungi and other types of pathogens. The content of secondary metabolite compounds found in nut grass includes alkaloids, flavonoids, tannins, glycosides and furochromones, as well as many new sesquiterpenoids </w:t>
      </w:r>
      <w:r w:rsidR="00E91FF1">
        <w:rPr>
          <w:rFonts w:asciiTheme="majorBidi" w:hAnsiTheme="majorBidi" w:cstheme="majorBidi"/>
          <w:lang w:val="en-IN"/>
        </w:rPr>
        <w:fldChar w:fldCharType="begin" w:fldLock="1"/>
      </w:r>
      <w:r w:rsidR="00E91FF1">
        <w:rPr>
          <w:rFonts w:asciiTheme="majorBidi" w:hAnsiTheme="majorBidi" w:cstheme="majorBidi"/>
          <w:lang w:val="en-IN"/>
        </w:rPr>
        <w:instrText>ADDIN CSL_CITATION {"citationItems":[{"id":"ITEM-1","itemData":{"DOI":"10.24960/jli.v5i1.667.53-59","ISBN":"0133912000","ISSN":"2356-0851","PMID":"29034193","abstract":"Saat ini meskipun obat tradisional cukup banyak digunakan oleh masyarakat dalam usaha pengobatan sendiri (self-medication), profesi kesehatan/dokter umumnya masih enggan untuk meresepkan ataupun menggunakannya. Hal tersebut berbeda dengan di beberapa negara tetangga seperti Cina, Korea, dan India yang mengintegrasikan cara dan pengobatan tradisional di dalam sistem pelayanan kesehatan formal. Alasan utama keengganan profesi kesehatan untuk meresepkan atau menggunakan obat tradisional karena bukti ilmiah mengenai khasiat dan keamanan obat tradisional pada manusia masih kurang.1 Obat tradisional Indonesia meru- pakan warisan budaya bangsa sehingga perlu digali, diteliti dan dikembangkan agar dapat digunakan lebih luas oleh masyarakat. Definisi","author":[{"dropping-particle":"","family":"Dewoto","given":"Hedi R.","non-dropping-particle":"","parse-names":false,"suffix":""}],"container-title":"Majalah Kedokteran Indonesia","id":"ITEM-1","issue":"7","issued":{"date-parts":[["2007"]]},"page":"205-211","title":"Pengembangan Obat Tradisional Menjadi Fitofarmaka","type":"article-magazine","volume":"57"},"uris":["http://www.mendeley.com/documents/?uuid=70b0e790-e44a-463d-89b0-79a919794082"]},{"id":"ITEM-2","itemData":{"DOI":"10.3390/molecules14082909","ISSN":"14203049","abstract":"The essential oils from the rhizomes of Cyperus rotundus L. collected from two different locations (Empangeni-A and KwaDlangezwa-B; both in the Kwa-Zulu Natal Province of South Africa) were obtained by hydrodistillation and analyzed by capillary GC and GC/MS. Forty-one and 43 components were identified, representing 89.9% and 92.0% of sample A and sample B, respectively. α-Cyperone (11.0%), myrtenol (7.9%), caryophyllene oxide (5.4%) and β-pinene (5.3%) were major compounds in the oil of sample A. The main constituents of the oil of sample B were β-pinene (11.3%), α-pinene (10.8%), α- cyperone (7.9%), myrtenol (7.1%) and a-selinene (6.6%). © 2009.","author":[{"dropping-particle":"","family":"Lawal","given":"Oladipupo A.","non-dropping-particle":"","parse-names":false,"suffix":""},{"dropping-particle":"","family":"Oyedeji","given":"Adebola O.","non-dropping-particle":"","parse-names":false,"suffix":""}],"container-title":"Molecules","id":"ITEM-2","issue":"8","issued":{"date-parts":[["2009"]]},"page":"2909-2917","title":"Chemical composition of the essential oils of cyperus rotundus L. from South Africa","type":"article-journal","volume":"14"},"uris":["http://www.mendeley.com/documents/?uuid=193d9cd6-0ca4-42c8-aa38-44e1d87f5521"]},{"id":"ITEM-3","itemData":{"author":[{"dropping-particle":"","family":"Sholekah","given":"Friska Fitriani","non-dropping-particle":"","parse-names":false,"suffix":""}],"container-title":"Seminar Nasional Pendidikan Biologi dan Biologi","id":"ITEM-3","issued":{"date-parts":[["2017"]]},"page":"75-82","publisher":"Universitas Negeri Yogyakarta","publisher-place":"Yogyakarta","title":"Kandungan Flavonoid dan beta Karoten Buah Karika (Carica pubescens) Daerah Dieng Wonosobo","type":"paper-conference"},"uris":["http://www.mendeley.com/documents/?uuid=b8f6e5fc-7351-4294-a2bb-98b5fd11a4aa"]}],"mendeley":{"formattedCitation":"(Dewoto, 2007; Lawal and Oyedeji, 2009; Sholekah, 2017)","plainTextFormattedCitation":"(Dewoto, 2007; Lawal and Oyedeji, 2009; Sholekah, 2017)","previouslyFormattedCitation":"(Dewoto, 2007; Lawal and Oyedeji, 2009; Sholekah, 2017)"},"properties":{"noteIndex":0},"schema":"https://github.com/citation-style-language/schema/raw/master/csl-citation.json"}</w:instrText>
      </w:r>
      <w:r w:rsidR="00E91FF1">
        <w:rPr>
          <w:rFonts w:asciiTheme="majorBidi" w:hAnsiTheme="majorBidi" w:cstheme="majorBidi"/>
          <w:lang w:val="en-IN"/>
        </w:rPr>
        <w:fldChar w:fldCharType="separate"/>
      </w:r>
      <w:r w:rsidR="00E91FF1" w:rsidRPr="00E91FF1">
        <w:rPr>
          <w:rFonts w:asciiTheme="majorBidi" w:hAnsiTheme="majorBidi" w:cstheme="majorBidi"/>
          <w:noProof/>
          <w:lang w:val="en-IN"/>
        </w:rPr>
        <w:t>(Dewoto, 2007; Lawal and Oyedeji, 2009; Sholekah, 2017)</w:t>
      </w:r>
      <w:r w:rsidR="00E91FF1">
        <w:rPr>
          <w:rFonts w:asciiTheme="majorBidi" w:hAnsiTheme="majorBidi" w:cstheme="majorBidi"/>
          <w:lang w:val="en-IN"/>
        </w:rPr>
        <w:fldChar w:fldCharType="end"/>
      </w:r>
      <w:r w:rsidRPr="00CD50D2">
        <w:rPr>
          <w:rFonts w:asciiTheme="majorBidi" w:hAnsiTheme="majorBidi" w:cstheme="majorBidi"/>
          <w:lang w:val="en-IN"/>
        </w:rPr>
        <w:t>.</w:t>
      </w:r>
    </w:p>
    <w:p w:rsidR="00CD50D2" w:rsidRPr="00CD50D2" w:rsidRDefault="00CD50D2" w:rsidP="00E91FF1">
      <w:pPr>
        <w:autoSpaceDE w:val="0"/>
        <w:autoSpaceDN w:val="0"/>
        <w:adjustRightInd w:val="0"/>
        <w:spacing w:after="0" w:line="240" w:lineRule="auto"/>
        <w:ind w:firstLine="720"/>
        <w:jc w:val="both"/>
        <w:rPr>
          <w:rFonts w:asciiTheme="majorBidi" w:hAnsiTheme="majorBidi" w:cstheme="majorBidi"/>
          <w:lang w:val="en-IN"/>
        </w:rPr>
      </w:pPr>
      <w:r w:rsidRPr="00CD50D2">
        <w:rPr>
          <w:rFonts w:asciiTheme="majorBidi" w:hAnsiTheme="majorBidi" w:cstheme="majorBidi"/>
          <w:lang w:val="en-IN"/>
        </w:rPr>
        <w:t xml:space="preserve">The benefits of these secondary metabolites have been widely studied by scientists. There are several known effects of nut grass, including as an antimutagen and radiation, antimalarial, antidiabetic, and natural antioxidant </w:t>
      </w:r>
      <w:r w:rsidR="00E91FF1">
        <w:rPr>
          <w:rFonts w:asciiTheme="majorBidi" w:hAnsiTheme="majorBidi" w:cstheme="majorBidi"/>
          <w:lang w:val="en-IN"/>
        </w:rPr>
        <w:fldChar w:fldCharType="begin" w:fldLock="1"/>
      </w:r>
      <w:r w:rsidR="00E91FF1">
        <w:rPr>
          <w:rFonts w:asciiTheme="majorBidi" w:hAnsiTheme="majorBidi" w:cstheme="majorBidi"/>
          <w:lang w:val="en-IN"/>
        </w:rPr>
        <w:instrText>ADDIN CSL_CITATION {"citationItems":[{"id":"ITEM-1","itemData":{"abstract":"Ayurveda, the science of life, deals with the holistic view of healthy living. It covers various physiology and pathology of diseases and their therapies. Since ancient times, several diseases have been treated by administration of plant extracts based on traditional medicine. Investigation of traditionally used medicinal plants is thus valuable on two levels, firstly, as a source of potential chemotherapeutic drugs, and secondly, as a measure of safety for the continued use of medicinal plants. The rhizomes of Cyperus rotundus which are used as traditional folk medicines for the treatment of stomach, bowel disorders and inflammatory diseases. Cyperus rotundus contains essential oils, terpenes, flavonoids, b-sitosterol, and ascorbic acid. The main terpenes in Cyperus rotundus are cyperenes, which include sesquiterpene hydrocarbons. This paper explains the evidence-based information regarding the pharmacological activity of this plant. It has many ethnobotanical uses and is medicinally used in the traditional Ayurvedic system. INTRODUCTION The genus Cyperus includes common weeds found in upland and paddy fields in temperate to tropical regions. In Asian countries, the rhizomes of Cyperus rotundus, which are used as traditional folk medicines for the treatment of stomach and bowel disorders, and inflammatory diseases, have been widely, investigated.","author":[{"dropping-particle":"","family":"Meena","given":"A K","non-dropping-particle":"","parse-names":false,"suffix":""},{"dropping-particle":"","family":"Yadav","given":"A K","non-dropping-particle":"","parse-names":false,"suffix":""},{"dropping-particle":"","family":"Niranjan","given":"U S","non-dropping-particle":"","parse-names":false,"suffix":""},{"dropping-particle":"","family":"Singh","given":"Brijendra","non-dropping-particle":"","parse-names":false,"suffix":""},{"dropping-particle":"","family":"Nagariya","given":"A K","non-dropping-particle":"","parse-names":false,"suffix":""},{"dropping-particle":"","family":"Verma","given":"Mansi","non-dropping-particle":"","parse-names":false,"suffix":""}],"container-title":"International Journal of Pharmaceutical and Clinical Research","id":"ITEM-1","issue":"1","issued":{"date-parts":[["2010"]]},"page":"20-22","title":"Review on Cyperus rotundus -A Potential Herb","type":"article-journal","volume":"2"},"uris":["http://www.mendeley.com/documents/?uuid=be4314d9-c48f-4f49-86db-2d0317156041"]},{"id":"ITEM-2","itemData":{"ISSN":"09760512","abstract":"Cyperus rotundus Linn. (Family: Cyperaceae), commonly known as Motha is a turf grass which grows everywhere including lawns . It has wide range of medicinal and pharmacological applications. It is used in traditional system of medicine and exhibits anti-inflammatory, anti-arthritic, antipyretic, analgesic, antidiabetic, antidiarrhoeal, cytoprotective, antmutagenic, antimicrobial, antioxidant, cytotoxic, apoptotic and various other activities. Motha is used in many Ayurvedic preparations. This paper provides an overview on phytopharmacological properties and multifaceted therapeutic benefits of the plant.","author":[{"dropping-particle":"","family":"Singh","given":"N.","non-dropping-particle":"","parse-names":false,"suffix":""},{"dropping-particle":"","family":"Pandey","given":"B. R.","non-dropping-particle":"","parse-names":false,"suffix":""},{"dropping-particle":"","family":"Verma","given":"P.","non-dropping-particle":"","parse-names":false,"suffix":""},{"dropping-particle":"","family":"Bhalla","given":"M.","non-dropping-particle":"","parse-names":false,"suffix":""},{"dropping-particle":"","family":"Gilca","given":"M.","non-dropping-particle":"","parse-names":false,"suffix":""}],"container-title":"Indian Journal of Natural Products and Resources","id":"ITEM-2","issue":"4","issued":{"date-parts":[["2012"]]},"page":"467-476","title":"Phyto-pharmacotherapeutics of Cyperus rotundus Linn. (Motha): An overview","type":"article-journal","volume":"3"},"uris":["http://www.mendeley.com/documents/?uuid=038a26ef-022b-4df2-ac27-53f412eeb817"]},{"id":"ITEM-3","itemData":{"abstract":"-Cyperus rotundus Linn belong to the family Cyperaceae. It is the world worst weed native to India. It grows in small clump up to 100cm high. The extensive distribution of the nut-grass is due to its ability to adapt to a wide range of soil types, altitudes, temperatures, soil pH and moisture levels. It therefore grows in a variety of different habitats and environments. It has wide range of medicinal and pharmacological applications. According to the Ayurveda, C.rotundus rhizomes are considered astringent, diaphoretic, diuretic, analgesic, antispasmodic, aromatic, carminative, antitussive, emmenagogue, litholytic, sedative, stimulant, stomachic, vermifuge, tonic and antibacterial. This paper provides review on medicinal uses and various pharmacological properties of C.rotundus rhizome.","author":[{"dropping-particle":"","family":"Sivapalan","given":"Sri Ranjani","non-dropping-particle":"","parse-names":false,"suffix":""}],"container-title":"International Journal of Scientific and Research Publications","id":"ITEM-3","issue":"1","issued":{"date-parts":[["2013"]]},"page":"2250-3153","title":"Medicinal uses and Pharmacological activities of Cyperus rotundus Linn – A Review","type":"article-journal","volume":"3"},"uris":["http://www.mendeley.com/documents/?uuid=a7517db3-1f8c-4dc2-a9b6-d38786a22b9f"]}],"mendeley":{"formattedCitation":"(Meena &lt;i&gt;et al.&lt;/i&gt;, 2010; Singh &lt;i&gt;et al.&lt;/i&gt;, 2012; Sivapalan, 2013)","plainTextFormattedCitation":"(Meena et al., 2010; Singh et al., 2012; Sivapalan, 2013)","previouslyFormattedCitation":"(Meena &lt;i&gt;et al.&lt;/i&gt;, 2010; Singh &lt;i&gt;et al.&lt;/i&gt;, 2012; Sivapalan, 2013)"},"properties":{"noteIndex":0},"schema":"https://github.com/citation-style-language/schema/raw/master/csl-citation.json"}</w:instrText>
      </w:r>
      <w:r w:rsidR="00E91FF1">
        <w:rPr>
          <w:rFonts w:asciiTheme="majorBidi" w:hAnsiTheme="majorBidi" w:cstheme="majorBidi"/>
          <w:lang w:val="en-IN"/>
        </w:rPr>
        <w:fldChar w:fldCharType="separate"/>
      </w:r>
      <w:r w:rsidR="00E91FF1" w:rsidRPr="00E91FF1">
        <w:rPr>
          <w:rFonts w:asciiTheme="majorBidi" w:hAnsiTheme="majorBidi" w:cstheme="majorBidi"/>
          <w:noProof/>
          <w:lang w:val="en-IN"/>
        </w:rPr>
        <w:t xml:space="preserve">(Meena </w:t>
      </w:r>
      <w:r w:rsidR="00E91FF1" w:rsidRPr="00E91FF1">
        <w:rPr>
          <w:rFonts w:asciiTheme="majorBidi" w:hAnsiTheme="majorBidi" w:cstheme="majorBidi"/>
          <w:i/>
          <w:noProof/>
          <w:lang w:val="en-IN"/>
        </w:rPr>
        <w:t>et al.</w:t>
      </w:r>
      <w:r w:rsidR="00E91FF1" w:rsidRPr="00E91FF1">
        <w:rPr>
          <w:rFonts w:asciiTheme="majorBidi" w:hAnsiTheme="majorBidi" w:cstheme="majorBidi"/>
          <w:noProof/>
          <w:lang w:val="en-IN"/>
        </w:rPr>
        <w:t xml:space="preserve">, 2010; Singh </w:t>
      </w:r>
      <w:r w:rsidR="00E91FF1" w:rsidRPr="00E91FF1">
        <w:rPr>
          <w:rFonts w:asciiTheme="majorBidi" w:hAnsiTheme="majorBidi" w:cstheme="majorBidi"/>
          <w:i/>
          <w:noProof/>
          <w:lang w:val="en-IN"/>
        </w:rPr>
        <w:t>et al.</w:t>
      </w:r>
      <w:r w:rsidR="00E91FF1" w:rsidRPr="00E91FF1">
        <w:rPr>
          <w:rFonts w:asciiTheme="majorBidi" w:hAnsiTheme="majorBidi" w:cstheme="majorBidi"/>
          <w:noProof/>
          <w:lang w:val="en-IN"/>
        </w:rPr>
        <w:t>, 2012; Sivapalan, 2013)</w:t>
      </w:r>
      <w:r w:rsidR="00E91FF1">
        <w:rPr>
          <w:rFonts w:asciiTheme="majorBidi" w:hAnsiTheme="majorBidi" w:cstheme="majorBidi"/>
          <w:lang w:val="en-IN"/>
        </w:rPr>
        <w:fldChar w:fldCharType="end"/>
      </w:r>
      <w:r w:rsidRPr="00CD50D2">
        <w:rPr>
          <w:rFonts w:asciiTheme="majorBidi" w:hAnsiTheme="majorBidi" w:cstheme="majorBidi"/>
          <w:lang w:val="en-IN"/>
        </w:rPr>
        <w:t>.</w:t>
      </w:r>
    </w:p>
    <w:p w:rsidR="00CD50D2" w:rsidRDefault="00CD50D2" w:rsidP="00E91FF1">
      <w:pPr>
        <w:autoSpaceDE w:val="0"/>
        <w:autoSpaceDN w:val="0"/>
        <w:adjustRightInd w:val="0"/>
        <w:spacing w:after="0" w:line="240" w:lineRule="auto"/>
        <w:ind w:firstLine="720"/>
        <w:jc w:val="both"/>
        <w:rPr>
          <w:rFonts w:asciiTheme="majorBidi" w:hAnsiTheme="majorBidi" w:cstheme="majorBidi"/>
          <w:lang w:val="en-IN"/>
        </w:rPr>
      </w:pPr>
      <w:r w:rsidRPr="00CD50D2">
        <w:rPr>
          <w:rFonts w:asciiTheme="majorBidi" w:hAnsiTheme="majorBidi" w:cstheme="majorBidi"/>
          <w:lang w:val="en-IN"/>
        </w:rPr>
        <w:t xml:space="preserve">Antioxidants are compounds that prevent cell damage due to the oxidation process of other compounds. Oxidation reactions produce free radicals which are very reactive. These free radicals are the target of antioxidants. The body always </w:t>
      </w:r>
      <w:r w:rsidR="00E91FF1">
        <w:rPr>
          <w:rFonts w:asciiTheme="majorBidi" w:hAnsiTheme="majorBidi" w:cstheme="majorBidi"/>
          <w:lang w:val="en-IN"/>
        </w:rPr>
        <w:t>maintains an antioxidant defense</w:t>
      </w:r>
      <w:r w:rsidRPr="00CD50D2">
        <w:rPr>
          <w:rFonts w:asciiTheme="majorBidi" w:hAnsiTheme="majorBidi" w:cstheme="majorBidi"/>
          <w:lang w:val="en-IN"/>
        </w:rPr>
        <w:t xml:space="preserve"> system to respond to the negative effects of oxidative stress due to the formation of reactive oxygen species (ROS). This oxidative stress is a key factor that plays an important role in the progression of various pathological diseases. Oxidative stress is caused by an imbalance between antioxidants and ROS, so that antioxidant supplements are needed to maintain health and prevent the occurrence of various pathological diseases</w:t>
      </w:r>
      <w:r w:rsidR="00E91FF1">
        <w:rPr>
          <w:rFonts w:asciiTheme="majorBidi" w:hAnsiTheme="majorBidi" w:cstheme="majorBidi"/>
          <w:lang w:val="en-IN"/>
        </w:rPr>
        <w:t xml:space="preserve"> </w:t>
      </w:r>
      <w:r w:rsidR="00E91FF1">
        <w:rPr>
          <w:rFonts w:asciiTheme="majorBidi" w:hAnsiTheme="majorBidi" w:cstheme="majorBidi"/>
          <w:lang w:val="en-IN"/>
        </w:rPr>
        <w:fldChar w:fldCharType="begin" w:fldLock="1"/>
      </w:r>
      <w:r w:rsidR="00AC2F7A">
        <w:rPr>
          <w:rFonts w:asciiTheme="majorBidi" w:hAnsiTheme="majorBidi" w:cstheme="majorBidi"/>
          <w:lang w:val="en-IN"/>
        </w:rPr>
        <w:instrText>ADDIN CSL_CITATION {"citationItems":[{"id":"ITEM-1","itemData":{"DOI":"10.1007/978-1-4614-8005-1","ISBN":"9781461480051","author":[{"dropping-particle":"","family":"Pal","given":"Mamta","non-dropping-particle":"","parse-names":false,"suffix":""},{"dropping-particle":"","family":"Misra","given":"Kshipra","non-dropping-particle":"","parse-names":false,"suffix":""},{"dropping-particle":"","family":"Dhillon","given":"Gurpreet Singh","non-dropping-particle":"","parse-names":false,"suffix":""},{"dropping-particle":"","family":"Brar","given":"Satinder Kaur","non-dropping-particle":"","parse-names":false,"suffix":""},{"dropping-particle":"","family":"Verma","given":"Mausam","non-dropping-particle":"","parse-names":false,"suffix":""}],"id":"ITEM-1","issue":"July","issued":{"date-parts":[["2014"]]},"title":"Antioxidants","type":"chapter"},"uris":["http://www.mendeley.com/documents/?uuid=216d2ac5-2c09-4ea9-b892-d181f442fce2"]}],"mendeley":{"formattedCitation":"(Pal &lt;i&gt;et al.&lt;/i&gt;, 2014)","plainTextFormattedCitation":"(Pal et al., 2014)","previouslyFormattedCitation":"(Pal &lt;i&gt;et al.&lt;/i&gt;, 2014)"},"properties":{"noteIndex":0},"schema":"https://github.com/citation-style-language/schema/raw/master/csl-citation.json"}</w:instrText>
      </w:r>
      <w:r w:rsidR="00E91FF1">
        <w:rPr>
          <w:rFonts w:asciiTheme="majorBidi" w:hAnsiTheme="majorBidi" w:cstheme="majorBidi"/>
          <w:lang w:val="en-IN"/>
        </w:rPr>
        <w:fldChar w:fldCharType="separate"/>
      </w:r>
      <w:r w:rsidR="00E91FF1" w:rsidRPr="00E91FF1">
        <w:rPr>
          <w:rFonts w:asciiTheme="majorBidi" w:hAnsiTheme="majorBidi" w:cstheme="majorBidi"/>
          <w:noProof/>
          <w:lang w:val="en-IN"/>
        </w:rPr>
        <w:t xml:space="preserve">(Pal </w:t>
      </w:r>
      <w:r w:rsidR="00E91FF1" w:rsidRPr="00E91FF1">
        <w:rPr>
          <w:rFonts w:asciiTheme="majorBidi" w:hAnsiTheme="majorBidi" w:cstheme="majorBidi"/>
          <w:i/>
          <w:noProof/>
          <w:lang w:val="en-IN"/>
        </w:rPr>
        <w:t>et al.</w:t>
      </w:r>
      <w:r w:rsidR="00E91FF1" w:rsidRPr="00E91FF1">
        <w:rPr>
          <w:rFonts w:asciiTheme="majorBidi" w:hAnsiTheme="majorBidi" w:cstheme="majorBidi"/>
          <w:noProof/>
          <w:lang w:val="en-IN"/>
        </w:rPr>
        <w:t>, 2014)</w:t>
      </w:r>
      <w:r w:rsidR="00E91FF1">
        <w:rPr>
          <w:rFonts w:asciiTheme="majorBidi" w:hAnsiTheme="majorBidi" w:cstheme="majorBidi"/>
          <w:lang w:val="en-IN"/>
        </w:rPr>
        <w:fldChar w:fldCharType="end"/>
      </w:r>
      <w:r w:rsidRPr="00CD50D2">
        <w:rPr>
          <w:rFonts w:asciiTheme="majorBidi" w:hAnsiTheme="majorBidi" w:cstheme="majorBidi"/>
          <w:lang w:val="en-IN"/>
        </w:rPr>
        <w:t>.</w:t>
      </w:r>
      <w:r w:rsidR="00C67E60">
        <w:rPr>
          <w:rFonts w:asciiTheme="majorBidi" w:hAnsiTheme="majorBidi" w:cstheme="majorBidi"/>
          <w:lang w:val="en-IN"/>
        </w:rPr>
        <w:t xml:space="preserve"> Thus, this study aims to identify t</w:t>
      </w:r>
      <w:r w:rsidR="00C67E60">
        <w:rPr>
          <w:rFonts w:asciiTheme="majorBidi" w:hAnsiTheme="majorBidi" w:cstheme="majorBidi"/>
          <w:bCs/>
        </w:rPr>
        <w:t>he potency of antioxidant agent in nutgrass rhizomes (</w:t>
      </w:r>
      <w:r w:rsidR="00C67E60">
        <w:rPr>
          <w:rFonts w:asciiTheme="majorBidi" w:hAnsiTheme="majorBidi" w:cstheme="majorBidi"/>
          <w:bCs/>
          <w:i/>
        </w:rPr>
        <w:t xml:space="preserve">Cyperus rotundus </w:t>
      </w:r>
      <w:r w:rsidR="00C67E60">
        <w:rPr>
          <w:rFonts w:asciiTheme="majorBidi" w:hAnsiTheme="majorBidi" w:cstheme="majorBidi"/>
          <w:bCs/>
        </w:rPr>
        <w:t xml:space="preserve">L.) extract. </w:t>
      </w:r>
    </w:p>
    <w:p w:rsidR="00CD50D2" w:rsidRPr="006B14C8" w:rsidRDefault="00CD50D2" w:rsidP="00CD50D2">
      <w:pPr>
        <w:autoSpaceDE w:val="0"/>
        <w:autoSpaceDN w:val="0"/>
        <w:adjustRightInd w:val="0"/>
        <w:spacing w:after="0" w:line="480" w:lineRule="auto"/>
        <w:ind w:firstLine="720"/>
        <w:jc w:val="both"/>
        <w:rPr>
          <w:rFonts w:ascii="Times New Roman" w:hAnsi="Times New Roman" w:cs="Times New Roman"/>
          <w:color w:val="231F20"/>
        </w:rPr>
      </w:pPr>
    </w:p>
    <w:p w:rsidR="003205F1" w:rsidRPr="003A5C17" w:rsidRDefault="000B6000" w:rsidP="00B8460C">
      <w:pPr>
        <w:spacing w:line="240" w:lineRule="auto"/>
        <w:jc w:val="both"/>
        <w:rPr>
          <w:rFonts w:asciiTheme="majorBidi" w:hAnsiTheme="majorBidi" w:cstheme="majorBidi"/>
          <w:b/>
          <w:bCs/>
        </w:rPr>
      </w:pPr>
      <w:r w:rsidRPr="003A5C17">
        <w:rPr>
          <w:rFonts w:asciiTheme="majorBidi" w:hAnsiTheme="majorBidi" w:cstheme="majorBidi"/>
          <w:b/>
          <w:bCs/>
          <w:lang w:val="id-ID"/>
        </w:rPr>
        <w:t xml:space="preserve">2. </w:t>
      </w:r>
      <w:r w:rsidRPr="003A5C17">
        <w:rPr>
          <w:rFonts w:asciiTheme="majorBidi" w:hAnsiTheme="majorBidi" w:cstheme="majorBidi"/>
          <w:b/>
          <w:bCs/>
        </w:rPr>
        <w:t xml:space="preserve">LITERATURE REVIEW </w:t>
      </w:r>
    </w:p>
    <w:p w:rsidR="00EA3C48" w:rsidRDefault="00EA3C48" w:rsidP="00AC2F7A">
      <w:pPr>
        <w:autoSpaceDE w:val="0"/>
        <w:autoSpaceDN w:val="0"/>
        <w:adjustRightInd w:val="0"/>
        <w:spacing w:after="0" w:line="240" w:lineRule="auto"/>
        <w:ind w:firstLine="720"/>
        <w:jc w:val="both"/>
        <w:rPr>
          <w:rFonts w:asciiTheme="majorBidi" w:hAnsiTheme="majorBidi" w:cstheme="majorBidi"/>
          <w:lang w:val="en-IN"/>
        </w:rPr>
      </w:pPr>
      <w:r>
        <w:rPr>
          <w:rFonts w:asciiTheme="majorBidi" w:hAnsiTheme="majorBidi" w:cstheme="majorBidi"/>
          <w:lang w:val="en-IN"/>
        </w:rPr>
        <w:t>Nutgrass (</w:t>
      </w:r>
      <w:r>
        <w:rPr>
          <w:rFonts w:asciiTheme="majorBidi" w:hAnsiTheme="majorBidi" w:cstheme="majorBidi"/>
          <w:i/>
          <w:lang w:val="en-IN"/>
        </w:rPr>
        <w:t xml:space="preserve">Cyperus rotundus </w:t>
      </w:r>
      <w:r>
        <w:rPr>
          <w:rFonts w:asciiTheme="majorBidi" w:hAnsiTheme="majorBidi" w:cstheme="majorBidi"/>
          <w:lang w:val="en-IN"/>
        </w:rPr>
        <w:t xml:space="preserve">L.) was one of widely distributed weeds and could be found in tropical, subtropical, and other areas with temperate climate at 1,000 mdpl heights. Based on literature, nutgrass was originally from Indian region and spread to the world, including South Africa, Korea, China, Japan, Malaysia, Indonesia, and other regions in South East Asia </w:t>
      </w:r>
      <w:r>
        <w:rPr>
          <w:rFonts w:asciiTheme="majorBidi" w:hAnsiTheme="majorBidi" w:cstheme="majorBidi"/>
          <w:lang w:val="en-IN"/>
        </w:rPr>
        <w:fldChar w:fldCharType="begin" w:fldLock="1"/>
      </w:r>
      <w:r>
        <w:rPr>
          <w:rFonts w:asciiTheme="majorBidi" w:hAnsiTheme="majorBidi" w:cstheme="majorBidi"/>
          <w:lang w:val="en-IN"/>
        </w:rPr>
        <w:instrText>ADDIN CSL_CITATION {"citationItems":[{"id":"ITEM-1","itemData":{"ISSN":"09760512","abstract":"Cyperus rotundus Linn. (Family: Cyperaceae), commonly known as Motha is a turf grass which grows everywhere including lawns . It has wide range of medicinal and pharmacological applications. It is used in traditional system of medicine and exhibits anti-inflammatory, anti-arthritic, antipyretic, analgesic, antidiabetic, antidiarrhoeal, cytoprotective, antmutagenic, antimicrobial, antioxidant, cytotoxic, apoptotic and various other activities. Motha is used in many Ayurvedic preparations. This paper provides an overview on phytopharmacological properties and multifaceted therapeutic benefits of the plant.","author":[{"dropping-particle":"","family":"Singh","given":"N.","non-dropping-particle":"","parse-names":false,"suffix":""},{"dropping-particle":"","family":"Pandey","given":"B. R.","non-dropping-particle":"","parse-names":false,"suffix":""},{"dropping-particle":"","family":"Verma","given":"P.","non-dropping-particle":"","parse-names":false,"suffix":""},{"dropping-particle":"","family":"Bhalla","given":"M.","non-dropping-particle":"","parse-names":false,"suffix":""},{"dropping-particle":"","family":"Gilca","given":"M.","non-dropping-particle":"","parse-names":false,"suffix":""}],"container-title":"Indian Journal of Natural Products and Resources","id":"ITEM-1","issue":"4","issued":{"date-parts":[["2012"]]},"page":"467-476","title":"Phyto-pharmacotherapeutics of Cyperus rotundus Linn. (Motha): An overview","type":"article-journal","volume":"3"},"uris":["http://www.mendeley.com/documents/?uuid=038a26ef-022b-4df2-ac27-53f412eeb817"]}],"mendeley":{"formattedCitation":"(Singh &lt;i&gt;et al.&lt;/i&gt;, 2012)","plainTextFormattedCitation":"(Singh et al., 2012)","previouslyFormattedCitation":"(Singh &lt;i&gt;et al.&lt;/i&gt;, 2012)"},"properties":{"noteIndex":0},"schema":"https://github.com/citation-style-language/schema/raw/master/csl-citation.json"}</w:instrText>
      </w:r>
      <w:r>
        <w:rPr>
          <w:rFonts w:asciiTheme="majorBidi" w:hAnsiTheme="majorBidi" w:cstheme="majorBidi"/>
          <w:lang w:val="en-IN"/>
        </w:rPr>
        <w:fldChar w:fldCharType="separate"/>
      </w:r>
      <w:r w:rsidRPr="00465853">
        <w:rPr>
          <w:rFonts w:asciiTheme="majorBidi" w:hAnsiTheme="majorBidi" w:cstheme="majorBidi"/>
          <w:noProof/>
          <w:lang w:val="en-IN"/>
        </w:rPr>
        <w:t xml:space="preserve">(Singh </w:t>
      </w:r>
      <w:r w:rsidRPr="00465853">
        <w:rPr>
          <w:rFonts w:asciiTheme="majorBidi" w:hAnsiTheme="majorBidi" w:cstheme="majorBidi"/>
          <w:i/>
          <w:noProof/>
          <w:lang w:val="en-IN"/>
        </w:rPr>
        <w:t>et al.</w:t>
      </w:r>
      <w:r w:rsidRPr="00465853">
        <w:rPr>
          <w:rFonts w:asciiTheme="majorBidi" w:hAnsiTheme="majorBidi" w:cstheme="majorBidi"/>
          <w:noProof/>
          <w:lang w:val="en-IN"/>
        </w:rPr>
        <w:t>, 2012)</w:t>
      </w:r>
      <w:r>
        <w:rPr>
          <w:rFonts w:asciiTheme="majorBidi" w:hAnsiTheme="majorBidi" w:cstheme="majorBidi"/>
          <w:lang w:val="en-IN"/>
        </w:rPr>
        <w:fldChar w:fldCharType="end"/>
      </w:r>
      <w:r>
        <w:rPr>
          <w:rFonts w:asciiTheme="majorBidi" w:hAnsiTheme="majorBidi" w:cstheme="majorBidi"/>
          <w:lang w:val="en-IN"/>
        </w:rPr>
        <w:t>.</w:t>
      </w:r>
      <w:r w:rsidR="00AC2F7A">
        <w:rPr>
          <w:rFonts w:asciiTheme="majorBidi" w:hAnsiTheme="majorBidi" w:cstheme="majorBidi"/>
          <w:lang w:val="en-IN"/>
        </w:rPr>
        <w:t xml:space="preserve"> </w:t>
      </w:r>
      <w:r>
        <w:rPr>
          <w:rFonts w:asciiTheme="majorBidi" w:hAnsiTheme="majorBidi" w:cstheme="majorBidi"/>
          <w:lang w:val="en-IN"/>
        </w:rPr>
        <w:t xml:space="preserve">Nutgrass was belongs to </w:t>
      </w:r>
      <w:r w:rsidRPr="00BB3BB1">
        <w:rPr>
          <w:rFonts w:ascii="Times New Roman" w:hAnsi="Times New Roman"/>
          <w:sz w:val="24"/>
          <w:szCs w:val="24"/>
          <w:lang w:val="fi-FI"/>
        </w:rPr>
        <w:t>Cyperaceae</w:t>
      </w:r>
      <w:r>
        <w:rPr>
          <w:rFonts w:ascii="Times New Roman" w:hAnsi="Times New Roman"/>
          <w:sz w:val="24"/>
          <w:szCs w:val="24"/>
          <w:lang w:val="fi-FI"/>
        </w:rPr>
        <w:t xml:space="preserve"> family and </w:t>
      </w:r>
      <w:r w:rsidRPr="007719E4">
        <w:rPr>
          <w:rFonts w:ascii="Times New Roman" w:hAnsi="Times New Roman"/>
          <w:iCs/>
          <w:sz w:val="24"/>
          <w:szCs w:val="24"/>
          <w:lang w:val="fi-FI"/>
        </w:rPr>
        <w:t>Cyperus</w:t>
      </w:r>
      <w:r w:rsidRPr="00BB3BB1">
        <w:rPr>
          <w:rFonts w:ascii="Times New Roman" w:hAnsi="Times New Roman"/>
          <w:i/>
          <w:iCs/>
          <w:sz w:val="24"/>
          <w:szCs w:val="24"/>
          <w:lang w:val="fi-FI"/>
        </w:rPr>
        <w:t xml:space="preserve"> </w:t>
      </w:r>
      <w:r w:rsidRPr="00BB3BB1">
        <w:rPr>
          <w:rFonts w:ascii="Times New Roman" w:hAnsi="Times New Roman"/>
          <w:sz w:val="24"/>
          <w:szCs w:val="24"/>
        </w:rPr>
        <w:t>genus</w:t>
      </w:r>
      <w:r>
        <w:rPr>
          <w:rFonts w:ascii="Times New Roman" w:hAnsi="Times New Roman"/>
          <w:sz w:val="24"/>
          <w:szCs w:val="24"/>
          <w:lang w:val="fi-FI"/>
        </w:rPr>
        <w:t xml:space="preserve">. Nutgrass could grow until 40 centimeters high. </w:t>
      </w:r>
      <w:r w:rsidRPr="00464D6B">
        <w:rPr>
          <w:rFonts w:asciiTheme="majorBidi" w:hAnsiTheme="majorBidi" w:cstheme="majorBidi"/>
          <w:lang w:val="en-IN"/>
        </w:rPr>
        <w:t>The stem is so</w:t>
      </w:r>
      <w:r>
        <w:rPr>
          <w:rFonts w:asciiTheme="majorBidi" w:hAnsiTheme="majorBidi" w:cstheme="majorBidi"/>
          <w:lang w:val="en-IN"/>
        </w:rPr>
        <w:t>ft, triangular in shape, forms rhizomes</w:t>
      </w:r>
      <w:r w:rsidRPr="00464D6B">
        <w:rPr>
          <w:rFonts w:asciiTheme="majorBidi" w:hAnsiTheme="majorBidi" w:cstheme="majorBidi"/>
          <w:lang w:val="en-IN"/>
        </w:rPr>
        <w:t xml:space="preserve">, and is pale green in color. The leaves are single, tapered tip, flat edge, 50 </w:t>
      </w:r>
      <w:r>
        <w:rPr>
          <w:rFonts w:asciiTheme="majorBidi" w:hAnsiTheme="majorBidi" w:cstheme="majorBidi"/>
          <w:lang w:val="en-IN"/>
        </w:rPr>
        <w:t xml:space="preserve">centimeters </w:t>
      </w:r>
      <w:r w:rsidRPr="00464D6B">
        <w:rPr>
          <w:rFonts w:asciiTheme="majorBidi" w:hAnsiTheme="majorBidi" w:cstheme="majorBidi"/>
          <w:lang w:val="en-IN"/>
        </w:rPr>
        <w:t xml:space="preserve">long, 5 </w:t>
      </w:r>
      <w:r>
        <w:rPr>
          <w:rFonts w:asciiTheme="majorBidi" w:hAnsiTheme="majorBidi" w:cstheme="majorBidi"/>
          <w:lang w:val="en-IN"/>
        </w:rPr>
        <w:t xml:space="preserve">milimeters </w:t>
      </w:r>
      <w:r w:rsidRPr="00464D6B">
        <w:rPr>
          <w:rFonts w:asciiTheme="majorBidi" w:hAnsiTheme="majorBidi" w:cstheme="majorBidi"/>
          <w:lang w:val="en-IN"/>
        </w:rPr>
        <w:t>wide, and green.</w:t>
      </w:r>
      <w:r>
        <w:rPr>
          <w:rFonts w:asciiTheme="majorBidi" w:hAnsiTheme="majorBidi" w:cstheme="majorBidi"/>
          <w:lang w:val="en-IN"/>
        </w:rPr>
        <w:t xml:space="preserve"> The flower is located </w:t>
      </w:r>
      <w:r w:rsidRPr="00464D6B">
        <w:rPr>
          <w:rFonts w:asciiTheme="majorBidi" w:hAnsiTheme="majorBidi" w:cstheme="majorBidi"/>
          <w:lang w:val="en-IN"/>
        </w:rPr>
        <w:t>at the end of the stem,</w:t>
      </w:r>
      <w:r>
        <w:rPr>
          <w:rFonts w:asciiTheme="majorBidi" w:hAnsiTheme="majorBidi" w:cstheme="majorBidi"/>
          <w:lang w:val="en-IN"/>
        </w:rPr>
        <w:t xml:space="preserve"> in the shape of a grain, 1-3 centimeters</w:t>
      </w:r>
      <w:r w:rsidRPr="00464D6B">
        <w:rPr>
          <w:rFonts w:asciiTheme="majorBidi" w:hAnsiTheme="majorBidi" w:cstheme="majorBidi"/>
          <w:lang w:val="en-IN"/>
        </w:rPr>
        <w:t xml:space="preserve"> long, 2 </w:t>
      </w:r>
      <w:r>
        <w:rPr>
          <w:rFonts w:asciiTheme="majorBidi" w:hAnsiTheme="majorBidi" w:cstheme="majorBidi"/>
          <w:lang w:val="en-IN"/>
        </w:rPr>
        <w:t xml:space="preserve">milimeters </w:t>
      </w:r>
      <w:r w:rsidRPr="00464D6B">
        <w:rPr>
          <w:rFonts w:asciiTheme="majorBidi" w:hAnsiTheme="majorBidi" w:cstheme="majorBidi"/>
          <w:lang w:val="en-IN"/>
        </w:rPr>
        <w:t>wide</w:t>
      </w:r>
      <w:r>
        <w:rPr>
          <w:rFonts w:asciiTheme="majorBidi" w:hAnsiTheme="majorBidi" w:cstheme="majorBidi"/>
          <w:lang w:val="en-IN"/>
        </w:rPr>
        <w:t>, and brown.</w:t>
      </w:r>
      <w:r>
        <w:rPr>
          <w:rFonts w:ascii="Times New Roman" w:hAnsi="Times New Roman"/>
          <w:sz w:val="24"/>
          <w:szCs w:val="24"/>
          <w:lang w:val="fi-FI"/>
        </w:rPr>
        <w:t xml:space="preserve"> </w:t>
      </w:r>
      <w:r w:rsidRPr="00464D6B">
        <w:rPr>
          <w:rFonts w:asciiTheme="majorBidi" w:hAnsiTheme="majorBidi" w:cstheme="majorBidi"/>
          <w:lang w:val="en-IN"/>
        </w:rPr>
        <w:t xml:space="preserve">The roots are fibrous and dirty white. While the </w:t>
      </w:r>
      <w:r>
        <w:rPr>
          <w:rFonts w:asciiTheme="majorBidi" w:hAnsiTheme="majorBidi" w:cstheme="majorBidi"/>
          <w:lang w:val="en-IN"/>
        </w:rPr>
        <w:t>rhizome</w:t>
      </w:r>
      <w:r w:rsidRPr="00464D6B">
        <w:rPr>
          <w:rFonts w:asciiTheme="majorBidi" w:hAnsiTheme="majorBidi" w:cstheme="majorBidi"/>
          <w:lang w:val="en-IN"/>
        </w:rPr>
        <w:t xml:space="preserve"> is the size of a pinkie, round or oval in shape, wrinkled or notched, the outside is brown and the inside is white</w:t>
      </w:r>
      <w:r>
        <w:rPr>
          <w:rFonts w:asciiTheme="majorBidi" w:hAnsiTheme="majorBidi" w:cstheme="majorBidi"/>
          <w:lang w:val="en-IN"/>
        </w:rPr>
        <w:t xml:space="preserve"> </w:t>
      </w:r>
      <w:r>
        <w:rPr>
          <w:rFonts w:asciiTheme="majorBidi" w:hAnsiTheme="majorBidi" w:cstheme="majorBidi"/>
          <w:lang w:val="en-IN"/>
        </w:rPr>
        <w:fldChar w:fldCharType="begin" w:fldLock="1"/>
      </w:r>
      <w:r w:rsidR="00AC2F7A">
        <w:rPr>
          <w:rFonts w:asciiTheme="majorBidi" w:hAnsiTheme="majorBidi" w:cstheme="majorBidi"/>
          <w:lang w:val="en-IN"/>
        </w:rPr>
        <w:instrText>ADDIN CSL_CITATION {"citationItems":[{"id":"ITEM-1","itemData":{"author":[{"dropping-particle":"","family":"Amalia","given":"Dhinny Rizky","non-dropping-particle":"","parse-names":false,"suffix":""},{"dropping-particle":"","family":"Zaman","given":"Badrus","non-dropping-particle":"","parse-names":false,"suffix":""},{"dropping-particle":"","family":"Hadiwidodo","given":"Mochtar","non-dropping-particle":"","parse-names":false,"suffix":""}],"id":"ITEM-1","issued":{"date-parts":[["2014"]]},"title":"Pengaruh Jumlah Koloni Rumput Teki (Cyperus Rotundus L.) pada Media Tanah TPA terhadap Penurunan Konsentrasi BOD dan COD Dalam Lindi (Studi Kasus TPA Jatibarang – Semarang)","type":"article-journal"},"uris":["http://www.mendeley.com/documents/?uuid=6100647f-e171-442d-b3de-3b0961a531d5"]}],"mendeley":{"formattedCitation":"(Amalia, Zaman and Hadiwidodo, 2014)","manualFormatting":"(Amalia et al., 2014)","plainTextFormattedCitation":"(Amalia, Zaman and Hadiwidodo, 2014)","previouslyFormattedCitation":"(Amalia, Zaman and Hadiwidodo, 2014)"},"properties":{"noteIndex":0},"schema":"https://github.com/citation-style-language/schema/raw/master/csl-citation.json"}</w:instrText>
      </w:r>
      <w:r>
        <w:rPr>
          <w:rFonts w:asciiTheme="majorBidi" w:hAnsiTheme="majorBidi" w:cstheme="majorBidi"/>
          <w:lang w:val="en-IN"/>
        </w:rPr>
        <w:fldChar w:fldCharType="separate"/>
      </w:r>
      <w:r w:rsidR="00AC2F7A">
        <w:rPr>
          <w:rFonts w:asciiTheme="majorBidi" w:hAnsiTheme="majorBidi" w:cstheme="majorBidi"/>
          <w:noProof/>
          <w:lang w:val="en-IN"/>
        </w:rPr>
        <w:t xml:space="preserve">(Amalia </w:t>
      </w:r>
      <w:r w:rsidR="00AC2F7A">
        <w:rPr>
          <w:rFonts w:asciiTheme="majorBidi" w:hAnsiTheme="majorBidi" w:cstheme="majorBidi"/>
          <w:i/>
          <w:noProof/>
          <w:lang w:val="en-IN"/>
        </w:rPr>
        <w:t>et al</w:t>
      </w:r>
      <w:r w:rsidR="00AC2F7A">
        <w:rPr>
          <w:rFonts w:asciiTheme="majorBidi" w:hAnsiTheme="majorBidi" w:cstheme="majorBidi"/>
          <w:noProof/>
          <w:lang w:val="en-IN"/>
        </w:rPr>
        <w:t>.</w:t>
      </w:r>
      <w:r w:rsidRPr="00EA3C48">
        <w:rPr>
          <w:rFonts w:asciiTheme="majorBidi" w:hAnsiTheme="majorBidi" w:cstheme="majorBidi"/>
          <w:noProof/>
          <w:lang w:val="en-IN"/>
        </w:rPr>
        <w:t>, 2014)</w:t>
      </w:r>
      <w:r>
        <w:rPr>
          <w:rFonts w:asciiTheme="majorBidi" w:hAnsiTheme="majorBidi" w:cstheme="majorBidi"/>
          <w:lang w:val="en-IN"/>
        </w:rPr>
        <w:fldChar w:fldCharType="end"/>
      </w:r>
      <w:r>
        <w:rPr>
          <w:rFonts w:asciiTheme="majorBidi" w:hAnsiTheme="majorBidi" w:cstheme="majorBidi"/>
          <w:lang w:val="en-IN"/>
        </w:rPr>
        <w:t>.</w:t>
      </w:r>
    </w:p>
    <w:p w:rsidR="00AC2F7A" w:rsidRPr="00AC2F7A" w:rsidRDefault="00AC2F7A" w:rsidP="00AC2F7A">
      <w:pPr>
        <w:spacing w:after="0" w:line="240" w:lineRule="auto"/>
        <w:ind w:firstLine="360"/>
        <w:jc w:val="both"/>
        <w:rPr>
          <w:rFonts w:ascii="Times New Roman" w:hAnsi="Times New Roman"/>
        </w:rPr>
      </w:pPr>
      <w:r w:rsidRPr="00AC2F7A">
        <w:rPr>
          <w:rFonts w:ascii="Times New Roman" w:hAnsi="Times New Roman"/>
        </w:rPr>
        <w:t>There are two types of metabolites in plants, namely primary metabolites and secondary metabolites. Primary metabolites which are important factors for the growth and life of living things, and are formed in limited numbers. Secondary metabolites are not used by plants for growth, and they function more to protect plants from their environment, such as attacks by insects, bacteria, fungi and other types of pathogens</w:t>
      </w:r>
      <w:r>
        <w:rPr>
          <w:rFonts w:ascii="Times New Roman" w:hAnsi="Times New Roman"/>
        </w:rPr>
        <w:t xml:space="preserve"> </w:t>
      </w:r>
      <w:r>
        <w:rPr>
          <w:rFonts w:ascii="Times New Roman" w:hAnsi="Times New Roman"/>
        </w:rPr>
        <w:fldChar w:fldCharType="begin" w:fldLock="1"/>
      </w:r>
      <w:r w:rsidR="00DB2CBA">
        <w:rPr>
          <w:rFonts w:ascii="Times New Roman" w:hAnsi="Times New Roman"/>
        </w:rPr>
        <w:instrText>ADDIN CSL_CITATION {"citationItems":[{"id":"ITEM-1","itemData":{"DOI":"10.24960/jli.v5i1.667.53-59","ISBN":"0133912000","ISSN":"2356-0851","PMID":"29034193","abstract":"Saat ini meskipun obat tradisional cukup banyak digunakan oleh masyarakat dalam usaha pengobatan sendiri (self-medication), profesi kesehatan/dokter umumnya masih enggan untuk meresepkan ataupun menggunakannya. Hal tersebut berbeda dengan di beberapa negara tetangga seperti Cina, Korea, dan India yang mengintegrasikan cara dan pengobatan tradisional di dalam sistem pelayanan kesehatan formal. Alasan utama keengganan profesi kesehatan untuk meresepkan atau menggunakan obat tradisional karena bukti ilmiah mengenai khasiat dan keamanan obat tradisional pada manusia masih kurang.1 Obat tradisional Indonesia meru- pakan warisan budaya bangsa sehingga perlu digali, diteliti dan dikembangkan agar dapat digunakan lebih luas oleh masyarakat. Definisi","author":[{"dropping-particle":"","family":"Dewoto","given":"Hedi R.","non-dropping-particle":"","parse-names":false,"suffix":""}],"container-title":"Majalah Kedokteran Indonesia","id":"ITEM-1","issue":"7","issued":{"date-parts":[["2007"]]},"page":"205-211","title":"Pengembangan Obat Tradisional Menjadi Fitofarmaka","type":"article-magazine","volume":"57"},"uris":["http://www.mendeley.com/documents/?uuid=70b0e790-e44a-463d-89b0-79a919794082"]},{"id":"ITEM-2","itemData":{"DOI":"10.3390/molecules14082909","ISSN":"14203049","abstract":"The essential oils from the rhizomes of Cyperus rotundus L. collected from two different locations (Empangeni-A and KwaDlangezwa-B; both in the Kwa-Zulu Natal Province of South Africa) were obtained by hydrodistillation and analyzed by capillary GC and GC/MS. Forty-one and 43 components were identified, representing 89.9% and 92.0% of sample A and sample B, respectively. α-Cyperone (11.0%), myrtenol (7.9%), caryophyllene oxide (5.4%) and β-pinene (5.3%) were major compounds in the oil of sample A. The main constituents of the oil of sample B were β-pinene (11.3%), α-pinene (10.8%), α- cyperone (7.9%), myrtenol (7.1%) and a-selinene (6.6%). © 2009.","author":[{"dropping-particle":"","family":"Lawal","given":"Oladipupo A.","non-dropping-particle":"","parse-names":false,"suffix":""},{"dropping-particle":"","family":"Oyedeji","given":"Adebola O.","non-dropping-particle":"","parse-names":false,"suffix":""}],"container-title":"Molecules","id":"ITEM-2","issue":"8","issued":{"date-parts":[["2009"]]},"page":"2909-2917","title":"Chemical composition of the essential oils of cyperus rotundus L. from South Africa","type":"article-journal","volume":"14"},"uris":["http://www.mendeley.com/documents/?uuid=193d9cd6-0ca4-42c8-aa38-44e1d87f5521"]},{"id":"ITEM-3","itemData":{"author":[{"dropping-particle":"","family":"Sholekah","given":"Friska Fitriani","non-dropping-particle":"","parse-names":false,"suffix":""}],"container-title":"Seminar Nasional Pendidikan Biologi dan Biologi","id":"ITEM-3","issued":{"date-parts":[["2017"]]},"page":"75-82","publisher":"Universitas Negeri Yogyakarta","publisher-place":"Yogyakarta","title":"Kandungan Flavonoid dan beta Karoten Buah Karika (Carica pubescens) Daerah Dieng Wonosobo","type":"paper-conference"},"uris":["http://www.mendeley.com/documents/?uuid=b8f6e5fc-7351-4294-a2bb-98b5fd11a4aa"]}],"mendeley":{"formattedCitation":"(Dewoto, 2007; Lawal and Oyedeji, 2009; Sholekah, 2017)","plainTextFormattedCitation":"(Dewoto, 2007; Lawal and Oyedeji, 2009; Sholekah, 2017)","previouslyFormattedCitation":"(Dewoto, 2007; Lawal and Oyedeji, 2009; Sholekah, 2017)"},"properties":{"noteIndex":0},"schema":"https://github.com/citation-style-language/schema/raw/master/csl-citation.json"}</w:instrText>
      </w:r>
      <w:r>
        <w:rPr>
          <w:rFonts w:ascii="Times New Roman" w:hAnsi="Times New Roman"/>
        </w:rPr>
        <w:fldChar w:fldCharType="separate"/>
      </w:r>
      <w:r w:rsidRPr="00AC2F7A">
        <w:rPr>
          <w:rFonts w:ascii="Times New Roman" w:hAnsi="Times New Roman"/>
          <w:noProof/>
        </w:rPr>
        <w:t>(Dewoto, 2007; Lawal and Oyedeji, 2009; Sholekah, 2017)</w:t>
      </w:r>
      <w:r>
        <w:rPr>
          <w:rFonts w:ascii="Times New Roman" w:hAnsi="Times New Roman"/>
        </w:rPr>
        <w:fldChar w:fldCharType="end"/>
      </w:r>
      <w:r w:rsidRPr="00AC2F7A">
        <w:rPr>
          <w:rFonts w:ascii="Times New Roman" w:hAnsi="Times New Roman"/>
        </w:rPr>
        <w:t>. Based on the literature, secondary metabolite compounds contained in nut grass include alkaloids, flavonoids, tannins, glycosides and furochromones, as well as many new sesquiterpenoids. The benefits of these secondary metabolites have been widely studied by scientists. A study in Sudan found that apart from having an antimicrobial effect with different effects on different microorganisms, ethanol extract of the nut grass plant also had moderate cytotoxic effects on Vero cells, with IC50&gt; 100 µg / mL (Lawal &amp; Oyedeji, 2009; Kabbashi et al. , 2015).</w:t>
      </w:r>
      <w:r>
        <w:rPr>
          <w:rFonts w:ascii="Times New Roman" w:hAnsi="Times New Roman"/>
        </w:rPr>
        <w:t xml:space="preserve"> </w:t>
      </w:r>
      <w:r w:rsidRPr="00AC2F7A">
        <w:rPr>
          <w:rFonts w:ascii="Times New Roman" w:hAnsi="Times New Roman"/>
        </w:rPr>
        <w:t>Scientists are still doing research on the compound content and effects of nut grass, many of which are thought to be unknown. Apart from being antimicrobial and anticancer, there are several more known effects of nut grass, for example as an antimutagen and radiation, antimalarial, anti-diarrheal, antidiabetic, and natural antioxidant (Meena et al., 2010; Singh et al., 2012; Sivapalan, 2013 ).</w:t>
      </w:r>
    </w:p>
    <w:p w:rsidR="00AC2F7A" w:rsidRPr="00AC2F7A" w:rsidRDefault="00AC2F7A" w:rsidP="00AC2F7A">
      <w:pPr>
        <w:spacing w:after="0" w:line="240" w:lineRule="auto"/>
        <w:ind w:firstLine="360"/>
        <w:jc w:val="both"/>
        <w:rPr>
          <w:rFonts w:ascii="Times New Roman" w:hAnsi="Times New Roman"/>
        </w:rPr>
      </w:pPr>
      <w:r w:rsidRPr="00AC2F7A">
        <w:rPr>
          <w:rFonts w:ascii="Times New Roman" w:hAnsi="Times New Roman"/>
        </w:rPr>
        <w:t>Antioxidants are compounds that prevent cell damage due to the oxidation process of other compounds. Oxidation reactions produce free radicals which are very reactive. Once formed, free radicals will start a reaction. These free radicals are the target of antioxidants. Antioxidants will work more effectively if there is more than one type of antioxidant that is synergized (Pal et al., 2014).</w:t>
      </w:r>
    </w:p>
    <w:p w:rsidR="00AC2F7A" w:rsidRPr="00AC2F7A" w:rsidRDefault="00AC2F7A" w:rsidP="00AC2F7A">
      <w:pPr>
        <w:spacing w:after="0" w:line="240" w:lineRule="auto"/>
        <w:ind w:firstLine="360"/>
        <w:jc w:val="both"/>
        <w:rPr>
          <w:rFonts w:ascii="Times New Roman" w:hAnsi="Times New Roman"/>
        </w:rPr>
      </w:pPr>
      <w:r w:rsidRPr="00AC2F7A">
        <w:rPr>
          <w:rFonts w:ascii="Times New Roman" w:hAnsi="Times New Roman"/>
        </w:rPr>
        <w:t xml:space="preserve"> The body always maintains an antioxidant defense system to respond to the negative effects of oxidative stress due to the formation of reactive oxygen species (ROS). This oxidative stress is a key factor that plays an important role in the progression of various pathological diseases. Oxidative stress is caused by an imbalance between antioxidants and ROS, so that antioxidant supplements are needed to maintain health and prevent the occurrence of various pathological diseases (Pal et al., 2014).</w:t>
      </w:r>
    </w:p>
    <w:p w:rsidR="00AC2F7A" w:rsidRPr="00AC2F7A" w:rsidRDefault="00AC2F7A" w:rsidP="00AC2F7A">
      <w:pPr>
        <w:spacing w:after="0" w:line="240" w:lineRule="auto"/>
        <w:ind w:firstLine="360"/>
        <w:jc w:val="both"/>
        <w:rPr>
          <w:rFonts w:ascii="Times New Roman" w:hAnsi="Times New Roman"/>
        </w:rPr>
      </w:pPr>
      <w:r w:rsidRPr="00AC2F7A">
        <w:rPr>
          <w:rFonts w:ascii="Times New Roman" w:hAnsi="Times New Roman"/>
        </w:rPr>
        <w:t>Currently, antioxidants are of great interest because of their relationship to free radicals and oxidative stress, cancer prophylaxis and therapy, and life expectancy. The use of antioxidants can protect the body from cardiovascular disease, neurological diseases, and carcinogenic diseases, and delay the onset of chronic diseases such as cataracts. Diseases caused by oxidative stress include cancer, coronary heart disease, obesity, type 2 diabetes mellitus, and hypertension (Yadav et al., 2016).</w:t>
      </w:r>
    </w:p>
    <w:p w:rsidR="00AC2F7A" w:rsidRPr="00AC2F7A" w:rsidRDefault="00AC2F7A" w:rsidP="00AC2F7A">
      <w:pPr>
        <w:spacing w:after="0" w:line="240" w:lineRule="auto"/>
        <w:ind w:firstLine="360"/>
        <w:jc w:val="both"/>
        <w:rPr>
          <w:rFonts w:ascii="Times New Roman" w:hAnsi="Times New Roman"/>
        </w:rPr>
      </w:pPr>
      <w:r w:rsidRPr="00AC2F7A">
        <w:rPr>
          <w:rFonts w:ascii="Times New Roman" w:hAnsi="Times New Roman"/>
        </w:rPr>
        <w:t>Based on the source, antioxidants are classified into 2 major groups, namely natural and artificial / synthetic antioxidants. Natural antioxidants are synthesized in the body through the process of metabolism or obtained from other natural sources. Natural antioxidants can be further divided into 2, enzymatic and non-enzymatic antioxidants. Examples of enzymatic antioxidants are superoxide dismutase, kalatase, glutathione peroxidase, and glutathione reductase (Pal et al., 2014).</w:t>
      </w:r>
    </w:p>
    <w:p w:rsidR="00B8460C" w:rsidRDefault="00AC2F7A" w:rsidP="00AC2F7A">
      <w:pPr>
        <w:spacing w:after="0" w:line="240" w:lineRule="auto"/>
        <w:ind w:firstLine="360"/>
        <w:jc w:val="both"/>
        <w:rPr>
          <w:rFonts w:ascii="Times New Roman" w:hAnsi="Times New Roman"/>
        </w:rPr>
      </w:pPr>
      <w:r w:rsidRPr="00AC2F7A">
        <w:rPr>
          <w:rFonts w:ascii="Times New Roman" w:hAnsi="Times New Roman"/>
        </w:rPr>
        <w:t xml:space="preserve">Non-enzymatic antioxidants can be further divided into several classes, namely minerals, vitamins, carotenoids, polyphenols, and other antioxidants that are protein and non-protein. Minerals work as enzymatic antioxidant co-factors. Examples of mineral antioxidants are Mg, Cu, Fe, Zn, and Mn. Vitamins that function as antioxidants are Vitamins A, C, and E. Lycopene, β-carotene, lutein, and zeaxanthin are included in the carotenoid antioxidant class. Polyphenols are phytochemicals that </w:t>
      </w:r>
      <w:r w:rsidRPr="00AC2F7A">
        <w:rPr>
          <w:rFonts w:ascii="Times New Roman" w:hAnsi="Times New Roman"/>
        </w:rPr>
        <w:lastRenderedPageBreak/>
        <w:t>have antioxidant activity, for example flavonoids, gingerols, and curcumin. Artificial antioxidants are synthesized using a variety of techniques. Which includes artificial antioxidants are EDTA, BHT, BHA, and ethoxyquin (Pal et al., 2014).</w:t>
      </w:r>
    </w:p>
    <w:p w:rsidR="00AC2F7A" w:rsidRPr="00AC2F7A" w:rsidRDefault="00AC2F7A" w:rsidP="00AC2F7A">
      <w:pPr>
        <w:spacing w:after="0" w:line="480" w:lineRule="auto"/>
        <w:ind w:firstLine="360"/>
        <w:jc w:val="both"/>
        <w:rPr>
          <w:rFonts w:asciiTheme="majorBidi" w:hAnsiTheme="majorBidi" w:cstheme="majorBidi"/>
          <w:sz w:val="20"/>
        </w:rPr>
      </w:pPr>
    </w:p>
    <w:p w:rsidR="003205F1" w:rsidRPr="003A5C17" w:rsidRDefault="000B6000" w:rsidP="00DA5557">
      <w:pPr>
        <w:spacing w:line="240" w:lineRule="auto"/>
        <w:jc w:val="both"/>
        <w:rPr>
          <w:rFonts w:asciiTheme="majorBidi" w:hAnsiTheme="majorBidi" w:cstheme="majorBidi"/>
          <w:b/>
          <w:bCs/>
        </w:rPr>
      </w:pPr>
      <w:r w:rsidRPr="003A5C17">
        <w:rPr>
          <w:rFonts w:asciiTheme="majorBidi" w:hAnsiTheme="majorBidi" w:cstheme="majorBidi"/>
          <w:b/>
          <w:bCs/>
          <w:lang w:val="id-ID"/>
        </w:rPr>
        <w:t xml:space="preserve">3. </w:t>
      </w:r>
      <w:r w:rsidRPr="003A5C17">
        <w:rPr>
          <w:rFonts w:asciiTheme="majorBidi" w:hAnsiTheme="majorBidi" w:cstheme="majorBidi"/>
          <w:b/>
          <w:bCs/>
        </w:rPr>
        <w:t>RESEARCH METHODOLOGY</w:t>
      </w:r>
    </w:p>
    <w:p w:rsidR="008A50C3" w:rsidRDefault="008A50C3" w:rsidP="008A50C3">
      <w:pPr>
        <w:spacing w:after="0" w:line="240" w:lineRule="auto"/>
        <w:ind w:firstLine="720"/>
        <w:jc w:val="both"/>
        <w:rPr>
          <w:rFonts w:asciiTheme="majorBidi" w:hAnsiTheme="majorBidi" w:cstheme="majorBidi"/>
          <w:bCs/>
          <w:lang w:val="en-IN"/>
        </w:rPr>
      </w:pPr>
      <w:r w:rsidRPr="008A50C3">
        <w:rPr>
          <w:rFonts w:asciiTheme="majorBidi" w:hAnsiTheme="majorBidi" w:cstheme="majorBidi"/>
          <w:bCs/>
          <w:lang w:val="en-IN"/>
        </w:rPr>
        <w:t>This research is a descriptive stud</w:t>
      </w:r>
      <w:r>
        <w:rPr>
          <w:rFonts w:asciiTheme="majorBidi" w:hAnsiTheme="majorBidi" w:cstheme="majorBidi"/>
          <w:bCs/>
          <w:lang w:val="en-IN"/>
        </w:rPr>
        <w:t xml:space="preserve">y with a cross sectional design. </w:t>
      </w:r>
      <w:r w:rsidRPr="008A50C3">
        <w:rPr>
          <w:rFonts w:asciiTheme="majorBidi" w:hAnsiTheme="majorBidi" w:cstheme="majorBidi"/>
          <w:bCs/>
          <w:lang w:val="en-IN"/>
        </w:rPr>
        <w:t xml:space="preserve">The population is nut grass </w:t>
      </w:r>
      <w:r>
        <w:rPr>
          <w:rFonts w:asciiTheme="majorBidi" w:hAnsiTheme="majorBidi" w:cstheme="majorBidi"/>
          <w:bCs/>
          <w:lang w:val="en-IN"/>
        </w:rPr>
        <w:t xml:space="preserve">growing </w:t>
      </w:r>
      <w:r w:rsidRPr="008A50C3">
        <w:rPr>
          <w:rFonts w:asciiTheme="majorBidi" w:hAnsiTheme="majorBidi" w:cstheme="majorBidi"/>
          <w:bCs/>
          <w:lang w:val="en-IN"/>
        </w:rPr>
        <w:t>in Talang Padang, Tanggamus Regency, at the coordinate point -5.377263, 104.792544</w:t>
      </w:r>
      <w:r>
        <w:rPr>
          <w:rFonts w:asciiTheme="majorBidi" w:hAnsiTheme="majorBidi" w:cstheme="majorBidi"/>
          <w:bCs/>
          <w:lang w:val="en-IN"/>
        </w:rPr>
        <w:t>.</w:t>
      </w:r>
      <w:r w:rsidRPr="008A50C3">
        <w:rPr>
          <w:rFonts w:asciiTheme="majorBidi" w:hAnsiTheme="majorBidi" w:cstheme="majorBidi"/>
          <w:bCs/>
          <w:lang w:val="en-IN"/>
        </w:rPr>
        <w:t xml:space="preserve"> The grass samples were then determined and extracted at the Laboratory of the Faculty of Mathematics and Natural Sciences, </w:t>
      </w:r>
      <w:r>
        <w:rPr>
          <w:rFonts w:asciiTheme="majorBidi" w:hAnsiTheme="majorBidi" w:cstheme="majorBidi"/>
          <w:bCs/>
          <w:lang w:val="en-IN"/>
        </w:rPr>
        <w:t>Universitas Lampung</w:t>
      </w:r>
      <w:r w:rsidRPr="008A50C3">
        <w:rPr>
          <w:rFonts w:asciiTheme="majorBidi" w:hAnsiTheme="majorBidi" w:cstheme="majorBidi"/>
          <w:bCs/>
          <w:lang w:val="en-IN"/>
        </w:rPr>
        <w:t xml:space="preserve">. The extract of nut grass was made using ethanol and chloroform as solvents. After that, the nut grass extract was sent to the Integrated Research and Testing Laboratory (LPPT) of </w:t>
      </w:r>
      <w:r>
        <w:rPr>
          <w:rFonts w:asciiTheme="majorBidi" w:hAnsiTheme="majorBidi" w:cstheme="majorBidi"/>
          <w:bCs/>
          <w:lang w:val="en-IN"/>
        </w:rPr>
        <w:t xml:space="preserve">Universitas Gadjah Mada </w:t>
      </w:r>
      <w:r w:rsidRPr="008A50C3">
        <w:rPr>
          <w:rFonts w:asciiTheme="majorBidi" w:hAnsiTheme="majorBidi" w:cstheme="majorBidi"/>
          <w:bCs/>
          <w:lang w:val="en-IN"/>
        </w:rPr>
        <w:t>(UGM) Yogyakarta for analysis o</w:t>
      </w:r>
      <w:r>
        <w:rPr>
          <w:rFonts w:asciiTheme="majorBidi" w:hAnsiTheme="majorBidi" w:cstheme="majorBidi"/>
          <w:bCs/>
          <w:lang w:val="en-IN"/>
        </w:rPr>
        <w:t>f its compound content using GC</w:t>
      </w:r>
      <w:r w:rsidRPr="008A50C3">
        <w:rPr>
          <w:rFonts w:asciiTheme="majorBidi" w:hAnsiTheme="majorBidi" w:cstheme="majorBidi"/>
          <w:bCs/>
          <w:lang w:val="en-IN"/>
        </w:rPr>
        <w:t>MS. The GCMS results were then analyzed to identify compounds with potential as antioxidants, based on the literature.</w:t>
      </w:r>
    </w:p>
    <w:p w:rsidR="0055123A" w:rsidRPr="00100749" w:rsidRDefault="0055123A" w:rsidP="008A50C3">
      <w:pPr>
        <w:spacing w:after="0" w:line="480" w:lineRule="auto"/>
        <w:ind w:left="360"/>
        <w:jc w:val="both"/>
        <w:rPr>
          <w:rFonts w:asciiTheme="majorBidi" w:hAnsiTheme="majorBidi" w:cstheme="majorBidi"/>
          <w:bCs/>
          <w:lang w:val="en-IN"/>
        </w:rPr>
      </w:pPr>
    </w:p>
    <w:p w:rsidR="00F07CF5" w:rsidRPr="003A5C17" w:rsidRDefault="000B6000" w:rsidP="00213879">
      <w:pPr>
        <w:spacing w:line="240" w:lineRule="auto"/>
        <w:jc w:val="both"/>
        <w:rPr>
          <w:rFonts w:asciiTheme="majorBidi" w:hAnsiTheme="majorBidi" w:cstheme="majorBidi"/>
          <w:b/>
        </w:rPr>
      </w:pPr>
      <w:r w:rsidRPr="003A5C17">
        <w:rPr>
          <w:rFonts w:asciiTheme="majorBidi" w:hAnsiTheme="majorBidi" w:cstheme="majorBidi"/>
          <w:b/>
          <w:lang w:val="id-ID"/>
        </w:rPr>
        <w:t>4. RESULT</w:t>
      </w:r>
      <w:r w:rsidRPr="003A5C17">
        <w:rPr>
          <w:rFonts w:asciiTheme="majorBidi" w:hAnsiTheme="majorBidi" w:cstheme="majorBidi"/>
          <w:b/>
        </w:rPr>
        <w:t>S</w:t>
      </w:r>
      <w:r w:rsidRPr="003A5C17">
        <w:rPr>
          <w:rFonts w:asciiTheme="majorBidi" w:hAnsiTheme="majorBidi" w:cstheme="majorBidi"/>
          <w:b/>
          <w:lang w:val="id-ID"/>
        </w:rPr>
        <w:t xml:space="preserve"> AND DISCUSSION</w:t>
      </w:r>
      <w:r w:rsidRPr="003A5C17">
        <w:rPr>
          <w:rFonts w:asciiTheme="majorBidi" w:hAnsiTheme="majorBidi" w:cstheme="majorBidi"/>
          <w:b/>
        </w:rPr>
        <w:t>S</w:t>
      </w:r>
    </w:p>
    <w:p w:rsidR="00DB2CBA" w:rsidRDefault="00DB2CBA" w:rsidP="00DB2CBA">
      <w:pPr>
        <w:spacing w:after="0" w:line="240" w:lineRule="auto"/>
        <w:ind w:firstLine="720"/>
        <w:jc w:val="both"/>
        <w:rPr>
          <w:rFonts w:asciiTheme="majorBidi" w:hAnsiTheme="majorBidi" w:cstheme="majorBidi"/>
          <w:bCs/>
          <w:lang w:val="en-IN"/>
        </w:rPr>
      </w:pPr>
      <w:r w:rsidRPr="00DB2CBA">
        <w:rPr>
          <w:rFonts w:asciiTheme="majorBidi" w:hAnsiTheme="majorBidi" w:cstheme="majorBidi"/>
          <w:bCs/>
          <w:lang w:val="en-IN"/>
        </w:rPr>
        <w:t xml:space="preserve">The location for sampling of nut grass </w:t>
      </w:r>
      <w:r>
        <w:rPr>
          <w:rFonts w:asciiTheme="majorBidi" w:hAnsiTheme="majorBidi" w:cstheme="majorBidi"/>
          <w:bCs/>
          <w:lang w:val="en-IN"/>
        </w:rPr>
        <w:t>rhizomes</w:t>
      </w:r>
      <w:r w:rsidRPr="00DB2CBA">
        <w:rPr>
          <w:rFonts w:asciiTheme="majorBidi" w:hAnsiTheme="majorBidi" w:cstheme="majorBidi"/>
          <w:bCs/>
          <w:lang w:val="en-IN"/>
        </w:rPr>
        <w:t xml:space="preserve"> is in Talang Padang, Tanggamus Regency, at the coordinate point -5.377263, 104.792544. The main compounds identified from the ethanol extract and chloroform of nut grass </w:t>
      </w:r>
      <w:r>
        <w:rPr>
          <w:rFonts w:asciiTheme="majorBidi" w:hAnsiTheme="majorBidi" w:cstheme="majorBidi"/>
          <w:bCs/>
          <w:lang w:val="en-IN"/>
        </w:rPr>
        <w:t>rhizomes</w:t>
      </w:r>
      <w:r w:rsidRPr="00DB2CBA">
        <w:rPr>
          <w:rFonts w:asciiTheme="majorBidi" w:hAnsiTheme="majorBidi" w:cstheme="majorBidi"/>
          <w:bCs/>
          <w:lang w:val="en-IN"/>
        </w:rPr>
        <w:t xml:space="preserve"> using the GCMS test ca</w:t>
      </w:r>
      <w:r>
        <w:rPr>
          <w:rFonts w:asciiTheme="majorBidi" w:hAnsiTheme="majorBidi" w:cstheme="majorBidi"/>
          <w:bCs/>
          <w:lang w:val="en-IN"/>
        </w:rPr>
        <w:t>n be seen in Tables 1 and 2.</w:t>
      </w:r>
    </w:p>
    <w:p w:rsidR="00DB2CBA" w:rsidRDefault="00DB2CBA" w:rsidP="00DB2CBA">
      <w:pPr>
        <w:spacing w:after="0" w:line="240" w:lineRule="auto"/>
        <w:ind w:firstLine="720"/>
        <w:jc w:val="both"/>
        <w:rPr>
          <w:rFonts w:asciiTheme="majorBidi" w:hAnsiTheme="majorBidi" w:cstheme="majorBidi"/>
          <w:bCs/>
          <w:lang w:val="en-IN"/>
        </w:rPr>
      </w:pPr>
      <w:r w:rsidRPr="00DB2CBA">
        <w:rPr>
          <w:rFonts w:asciiTheme="majorBidi" w:hAnsiTheme="majorBidi" w:cstheme="majorBidi"/>
          <w:bCs/>
          <w:lang w:val="en-IN"/>
        </w:rPr>
        <w:t xml:space="preserve">In the extract of nut grass </w:t>
      </w:r>
      <w:r>
        <w:rPr>
          <w:rFonts w:asciiTheme="majorBidi" w:hAnsiTheme="majorBidi" w:cstheme="majorBidi"/>
          <w:bCs/>
          <w:lang w:val="en-IN"/>
        </w:rPr>
        <w:t>rhizomes</w:t>
      </w:r>
      <w:r w:rsidRPr="00DB2CBA">
        <w:rPr>
          <w:rFonts w:asciiTheme="majorBidi" w:hAnsiTheme="majorBidi" w:cstheme="majorBidi"/>
          <w:bCs/>
          <w:lang w:val="en-IN"/>
        </w:rPr>
        <w:t xml:space="preserve"> using ethanol solvent, obtained 116 compounds with 6 main compounds, namely d-Selinene, Caryophyllene oxide, Longiverbenone, (3aR, 4R, 7R) -1,4,9,9-Tetramethyl-3,4,5 , 6,7,8-hexahydro-2H-3a (Cyperotundone), 2,5-Octadecadiynoic acid, methyl ester, and 2-Cyclohexene-1-carboxylic acid, 1,3-dimethyl-2- (3-methyl-7 -o (Methyl trisporate B).</w:t>
      </w:r>
    </w:p>
    <w:p w:rsidR="00DB2CBA" w:rsidRDefault="00DB2CBA" w:rsidP="00DB2CBA">
      <w:pPr>
        <w:spacing w:after="0" w:line="240" w:lineRule="auto"/>
        <w:ind w:firstLine="720"/>
        <w:jc w:val="both"/>
        <w:rPr>
          <w:rFonts w:asciiTheme="majorBidi" w:hAnsiTheme="majorBidi" w:cstheme="majorBidi"/>
          <w:bCs/>
          <w:lang w:val="en-IN"/>
        </w:rPr>
      </w:pPr>
    </w:p>
    <w:p w:rsidR="00DB2CBA" w:rsidRDefault="00DB2CBA" w:rsidP="00DB2CBA">
      <w:pPr>
        <w:spacing w:after="0" w:line="240" w:lineRule="auto"/>
        <w:jc w:val="center"/>
        <w:rPr>
          <w:rFonts w:asciiTheme="majorBidi" w:hAnsiTheme="majorBidi" w:cstheme="majorBidi"/>
          <w:bCs/>
          <w:lang w:val="en-IN"/>
        </w:rPr>
      </w:pPr>
      <w:r w:rsidRPr="00DB2CBA">
        <w:rPr>
          <w:rFonts w:asciiTheme="majorBidi" w:hAnsiTheme="majorBidi" w:cstheme="majorBidi"/>
          <w:b/>
          <w:bCs/>
          <w:lang w:val="en-IN"/>
        </w:rPr>
        <w:t>Table 1</w:t>
      </w:r>
      <w:r>
        <w:rPr>
          <w:rFonts w:asciiTheme="majorBidi" w:hAnsiTheme="majorBidi" w:cstheme="majorBidi"/>
          <w:bCs/>
          <w:lang w:val="en-IN"/>
        </w:rPr>
        <w:t xml:space="preserve">. </w:t>
      </w:r>
      <w:r w:rsidRPr="00DB2CBA">
        <w:rPr>
          <w:rFonts w:asciiTheme="majorBidi" w:hAnsiTheme="majorBidi" w:cstheme="majorBidi"/>
          <w:bCs/>
          <w:lang w:val="en-IN"/>
        </w:rPr>
        <w:t xml:space="preserve">The main compounds detected in the ethanol extract of nut grass </w:t>
      </w:r>
      <w:r>
        <w:rPr>
          <w:rFonts w:asciiTheme="majorBidi" w:hAnsiTheme="majorBidi" w:cstheme="majorBidi"/>
          <w:bCs/>
          <w:lang w:val="en-IN"/>
        </w:rPr>
        <w:t>rhizomes</w:t>
      </w:r>
    </w:p>
    <w:tbl>
      <w:tblPr>
        <w:tblStyle w:val="TableGrid"/>
        <w:tblW w:w="9112" w:type="dxa"/>
        <w:tblLook w:val="04A0"/>
      </w:tblPr>
      <w:tblGrid>
        <w:gridCol w:w="648"/>
        <w:gridCol w:w="900"/>
        <w:gridCol w:w="4500"/>
        <w:gridCol w:w="1620"/>
        <w:gridCol w:w="1444"/>
      </w:tblGrid>
      <w:tr w:rsidR="00DB2CBA" w:rsidRPr="00A96D82" w:rsidTr="00DB2CBA">
        <w:tc>
          <w:tcPr>
            <w:tcW w:w="648"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No.</w:t>
            </w:r>
          </w:p>
        </w:tc>
        <w:tc>
          <w:tcPr>
            <w:tcW w:w="900"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Nomor Puncak</w:t>
            </w:r>
          </w:p>
        </w:tc>
        <w:tc>
          <w:tcPr>
            <w:tcW w:w="4500"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Senyawa</w:t>
            </w:r>
          </w:p>
        </w:tc>
        <w:tc>
          <w:tcPr>
            <w:tcW w:w="1620"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Waktu Retensi (menit)</w:t>
            </w:r>
          </w:p>
        </w:tc>
        <w:tc>
          <w:tcPr>
            <w:tcW w:w="1444"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Area Puncak (%)</w:t>
            </w:r>
          </w:p>
        </w:tc>
      </w:tr>
      <w:tr w:rsidR="00DB2CBA" w:rsidRPr="00A96D82" w:rsidTr="00DB2CBA">
        <w:tc>
          <w:tcPr>
            <w:tcW w:w="648"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1.</w:t>
            </w:r>
          </w:p>
        </w:tc>
        <w:tc>
          <w:tcPr>
            <w:tcW w:w="900" w:type="dxa"/>
            <w:vAlign w:val="center"/>
          </w:tcPr>
          <w:p w:rsidR="00DB2CBA" w:rsidRPr="006E2717" w:rsidRDefault="00DB2CBA" w:rsidP="00472EF4">
            <w:pPr>
              <w:jc w:val="center"/>
              <w:rPr>
                <w:rFonts w:ascii="Times New Roman" w:hAnsi="Times New Roman"/>
              </w:rPr>
            </w:pPr>
            <w:r w:rsidRPr="006E2717">
              <w:rPr>
                <w:rFonts w:ascii="Times New Roman" w:hAnsi="Times New Roman"/>
              </w:rPr>
              <w:t>14</w:t>
            </w:r>
          </w:p>
        </w:tc>
        <w:tc>
          <w:tcPr>
            <w:tcW w:w="4500" w:type="dxa"/>
          </w:tcPr>
          <w:p w:rsidR="00DB2CBA" w:rsidRPr="00264190" w:rsidRDefault="00DB2CBA" w:rsidP="00472EF4">
            <w:pPr>
              <w:contextualSpacing/>
              <w:jc w:val="both"/>
              <w:rPr>
                <w:rFonts w:ascii="Times New Roman" w:hAnsi="Times New Roman"/>
                <w:szCs w:val="24"/>
              </w:rPr>
            </w:pPr>
            <w:r w:rsidRPr="00264190">
              <w:rPr>
                <w:rFonts w:ascii="Times New Roman" w:hAnsi="Times New Roman"/>
              </w:rPr>
              <w:t>d-Selinene</w:t>
            </w:r>
          </w:p>
        </w:tc>
        <w:tc>
          <w:tcPr>
            <w:tcW w:w="1620" w:type="dxa"/>
            <w:vAlign w:val="center"/>
          </w:tcPr>
          <w:p w:rsidR="00DB2CBA" w:rsidRPr="006E2717" w:rsidRDefault="00DB2CBA" w:rsidP="00472EF4">
            <w:pPr>
              <w:jc w:val="center"/>
              <w:rPr>
                <w:rFonts w:ascii="Times New Roman" w:hAnsi="Times New Roman"/>
              </w:rPr>
            </w:pPr>
            <w:r w:rsidRPr="006E2717">
              <w:rPr>
                <w:rFonts w:ascii="Times New Roman" w:hAnsi="Times New Roman"/>
              </w:rPr>
              <w:t>20</w:t>
            </w:r>
            <w:r>
              <w:rPr>
                <w:rFonts w:ascii="Times New Roman" w:hAnsi="Times New Roman"/>
              </w:rPr>
              <w:t>.</w:t>
            </w:r>
            <w:r w:rsidRPr="006E2717">
              <w:rPr>
                <w:rFonts w:ascii="Times New Roman" w:hAnsi="Times New Roman"/>
              </w:rPr>
              <w:t>07</w:t>
            </w:r>
          </w:p>
        </w:tc>
        <w:tc>
          <w:tcPr>
            <w:tcW w:w="1444" w:type="dxa"/>
            <w:vAlign w:val="center"/>
          </w:tcPr>
          <w:p w:rsidR="00DB2CBA" w:rsidRPr="006E2717" w:rsidRDefault="00DB2CBA" w:rsidP="00472EF4">
            <w:pPr>
              <w:jc w:val="center"/>
              <w:rPr>
                <w:rFonts w:ascii="Times New Roman" w:hAnsi="Times New Roman"/>
              </w:rPr>
            </w:pPr>
            <w:r w:rsidRPr="006E2717">
              <w:rPr>
                <w:rFonts w:ascii="Times New Roman" w:hAnsi="Times New Roman"/>
              </w:rPr>
              <w:t>7</w:t>
            </w:r>
            <w:r>
              <w:rPr>
                <w:rFonts w:ascii="Times New Roman" w:hAnsi="Times New Roman"/>
              </w:rPr>
              <w:t>.</w:t>
            </w:r>
            <w:r w:rsidRPr="006E2717">
              <w:rPr>
                <w:rFonts w:ascii="Times New Roman" w:hAnsi="Times New Roman"/>
              </w:rPr>
              <w:t>62</w:t>
            </w:r>
          </w:p>
        </w:tc>
      </w:tr>
      <w:tr w:rsidR="00DB2CBA" w:rsidRPr="00A96D82" w:rsidTr="00DB2CBA">
        <w:tc>
          <w:tcPr>
            <w:tcW w:w="648"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2.</w:t>
            </w:r>
          </w:p>
        </w:tc>
        <w:tc>
          <w:tcPr>
            <w:tcW w:w="900" w:type="dxa"/>
            <w:vAlign w:val="center"/>
          </w:tcPr>
          <w:p w:rsidR="00DB2CBA" w:rsidRPr="006E2717" w:rsidRDefault="00DB2CBA" w:rsidP="00472EF4">
            <w:pPr>
              <w:jc w:val="center"/>
              <w:rPr>
                <w:rFonts w:ascii="Times New Roman" w:hAnsi="Times New Roman"/>
              </w:rPr>
            </w:pPr>
            <w:r w:rsidRPr="006E2717">
              <w:rPr>
                <w:rFonts w:ascii="Times New Roman" w:hAnsi="Times New Roman"/>
              </w:rPr>
              <w:t>38</w:t>
            </w:r>
          </w:p>
        </w:tc>
        <w:tc>
          <w:tcPr>
            <w:tcW w:w="4500" w:type="dxa"/>
          </w:tcPr>
          <w:p w:rsidR="00DB2CBA" w:rsidRPr="00264190" w:rsidRDefault="00DB2CBA" w:rsidP="00472EF4">
            <w:pPr>
              <w:contextualSpacing/>
              <w:jc w:val="both"/>
              <w:rPr>
                <w:rFonts w:ascii="Times New Roman" w:hAnsi="Times New Roman"/>
                <w:szCs w:val="24"/>
              </w:rPr>
            </w:pPr>
            <w:r w:rsidRPr="00264190">
              <w:rPr>
                <w:rFonts w:ascii="Times New Roman" w:hAnsi="Times New Roman"/>
              </w:rPr>
              <w:t>Caryophyllene oxide</w:t>
            </w:r>
          </w:p>
        </w:tc>
        <w:tc>
          <w:tcPr>
            <w:tcW w:w="1620" w:type="dxa"/>
            <w:vAlign w:val="center"/>
          </w:tcPr>
          <w:p w:rsidR="00DB2CBA" w:rsidRPr="006E2717" w:rsidRDefault="00DB2CBA" w:rsidP="00472EF4">
            <w:pPr>
              <w:jc w:val="center"/>
              <w:rPr>
                <w:rFonts w:ascii="Times New Roman" w:hAnsi="Times New Roman"/>
              </w:rPr>
            </w:pPr>
            <w:r>
              <w:rPr>
                <w:rFonts w:ascii="Times New Roman" w:hAnsi="Times New Roman"/>
              </w:rPr>
              <w:t>24.</w:t>
            </w:r>
            <w:r w:rsidRPr="006E2717">
              <w:rPr>
                <w:rFonts w:ascii="Times New Roman" w:hAnsi="Times New Roman"/>
              </w:rPr>
              <w:t>63</w:t>
            </w:r>
          </w:p>
        </w:tc>
        <w:tc>
          <w:tcPr>
            <w:tcW w:w="1444" w:type="dxa"/>
            <w:vAlign w:val="center"/>
          </w:tcPr>
          <w:p w:rsidR="00DB2CBA" w:rsidRPr="006E2717" w:rsidRDefault="00DB2CBA" w:rsidP="00472EF4">
            <w:pPr>
              <w:jc w:val="center"/>
              <w:rPr>
                <w:rFonts w:ascii="Times New Roman" w:hAnsi="Times New Roman"/>
              </w:rPr>
            </w:pPr>
            <w:r>
              <w:rPr>
                <w:rFonts w:ascii="Times New Roman" w:hAnsi="Times New Roman"/>
              </w:rPr>
              <w:t>3.</w:t>
            </w:r>
            <w:r w:rsidRPr="006E2717">
              <w:rPr>
                <w:rFonts w:ascii="Times New Roman" w:hAnsi="Times New Roman"/>
              </w:rPr>
              <w:t>04</w:t>
            </w:r>
          </w:p>
        </w:tc>
      </w:tr>
      <w:tr w:rsidR="00DB2CBA" w:rsidRPr="00A96D82" w:rsidTr="00DB2CBA">
        <w:tc>
          <w:tcPr>
            <w:tcW w:w="648"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3.</w:t>
            </w:r>
          </w:p>
        </w:tc>
        <w:tc>
          <w:tcPr>
            <w:tcW w:w="900" w:type="dxa"/>
            <w:vAlign w:val="center"/>
          </w:tcPr>
          <w:p w:rsidR="00DB2CBA" w:rsidRPr="006E2717" w:rsidRDefault="00DB2CBA" w:rsidP="00472EF4">
            <w:pPr>
              <w:jc w:val="center"/>
              <w:rPr>
                <w:rFonts w:ascii="Times New Roman" w:hAnsi="Times New Roman"/>
              </w:rPr>
            </w:pPr>
            <w:r w:rsidRPr="006E2717">
              <w:rPr>
                <w:rFonts w:ascii="Times New Roman" w:hAnsi="Times New Roman"/>
              </w:rPr>
              <w:t>54</w:t>
            </w:r>
          </w:p>
        </w:tc>
        <w:tc>
          <w:tcPr>
            <w:tcW w:w="4500" w:type="dxa"/>
          </w:tcPr>
          <w:p w:rsidR="00DB2CBA" w:rsidRPr="00264190" w:rsidRDefault="00DB2CBA" w:rsidP="00472EF4">
            <w:pPr>
              <w:contextualSpacing/>
              <w:jc w:val="both"/>
              <w:rPr>
                <w:rFonts w:ascii="Times New Roman" w:hAnsi="Times New Roman"/>
                <w:szCs w:val="24"/>
              </w:rPr>
            </w:pPr>
            <w:r w:rsidRPr="00264190">
              <w:rPr>
                <w:rFonts w:ascii="Times New Roman" w:hAnsi="Times New Roman"/>
              </w:rPr>
              <w:t>Longiverbenone</w:t>
            </w:r>
          </w:p>
        </w:tc>
        <w:tc>
          <w:tcPr>
            <w:tcW w:w="1620" w:type="dxa"/>
            <w:vAlign w:val="center"/>
          </w:tcPr>
          <w:p w:rsidR="00DB2CBA" w:rsidRPr="006E2717" w:rsidRDefault="00DB2CBA" w:rsidP="00472EF4">
            <w:pPr>
              <w:jc w:val="center"/>
              <w:rPr>
                <w:rFonts w:ascii="Times New Roman" w:hAnsi="Times New Roman"/>
              </w:rPr>
            </w:pPr>
            <w:r>
              <w:rPr>
                <w:rFonts w:ascii="Times New Roman" w:hAnsi="Times New Roman"/>
              </w:rPr>
              <w:t>26.</w:t>
            </w:r>
            <w:r w:rsidRPr="006E2717">
              <w:rPr>
                <w:rFonts w:ascii="Times New Roman" w:hAnsi="Times New Roman"/>
              </w:rPr>
              <w:t>82</w:t>
            </w:r>
          </w:p>
        </w:tc>
        <w:tc>
          <w:tcPr>
            <w:tcW w:w="1444" w:type="dxa"/>
            <w:vAlign w:val="center"/>
          </w:tcPr>
          <w:p w:rsidR="00DB2CBA" w:rsidRPr="006E2717" w:rsidRDefault="00DB2CBA" w:rsidP="00472EF4">
            <w:pPr>
              <w:jc w:val="center"/>
              <w:rPr>
                <w:rFonts w:ascii="Times New Roman" w:hAnsi="Times New Roman"/>
              </w:rPr>
            </w:pPr>
            <w:r>
              <w:rPr>
                <w:rFonts w:ascii="Times New Roman" w:hAnsi="Times New Roman"/>
              </w:rPr>
              <w:t>3.</w:t>
            </w:r>
            <w:r w:rsidRPr="006E2717">
              <w:rPr>
                <w:rFonts w:ascii="Times New Roman" w:hAnsi="Times New Roman"/>
              </w:rPr>
              <w:t>75</w:t>
            </w:r>
          </w:p>
        </w:tc>
      </w:tr>
      <w:tr w:rsidR="00DB2CBA" w:rsidRPr="00A96D82" w:rsidTr="00DB2CBA">
        <w:tc>
          <w:tcPr>
            <w:tcW w:w="648"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4.</w:t>
            </w:r>
          </w:p>
        </w:tc>
        <w:tc>
          <w:tcPr>
            <w:tcW w:w="900" w:type="dxa"/>
            <w:vAlign w:val="center"/>
          </w:tcPr>
          <w:p w:rsidR="00DB2CBA" w:rsidRPr="006E2717" w:rsidRDefault="00DB2CBA" w:rsidP="00472EF4">
            <w:pPr>
              <w:jc w:val="center"/>
              <w:rPr>
                <w:rFonts w:ascii="Times New Roman" w:hAnsi="Times New Roman"/>
              </w:rPr>
            </w:pPr>
            <w:r w:rsidRPr="006E2717">
              <w:rPr>
                <w:rFonts w:ascii="Times New Roman" w:hAnsi="Times New Roman"/>
              </w:rPr>
              <w:t>58</w:t>
            </w:r>
          </w:p>
        </w:tc>
        <w:tc>
          <w:tcPr>
            <w:tcW w:w="4500" w:type="dxa"/>
          </w:tcPr>
          <w:p w:rsidR="00DB2CBA" w:rsidRPr="00264190" w:rsidRDefault="00DB2CBA" w:rsidP="00472EF4">
            <w:pPr>
              <w:contextualSpacing/>
              <w:jc w:val="both"/>
              <w:rPr>
                <w:rFonts w:ascii="Times New Roman" w:hAnsi="Times New Roman"/>
                <w:szCs w:val="24"/>
              </w:rPr>
            </w:pPr>
            <w:r w:rsidRPr="00264190">
              <w:rPr>
                <w:rFonts w:ascii="Times New Roman" w:hAnsi="Times New Roman"/>
              </w:rPr>
              <w:t>(3aR,4R,7R)-1,4,9,9-Tetramethyl-3,4,5,6,7,8-hexahydro-2H-3a (Cyperotundone)</w:t>
            </w:r>
          </w:p>
        </w:tc>
        <w:tc>
          <w:tcPr>
            <w:tcW w:w="1620" w:type="dxa"/>
            <w:vAlign w:val="center"/>
          </w:tcPr>
          <w:p w:rsidR="00DB2CBA" w:rsidRPr="006E2717" w:rsidRDefault="00DB2CBA" w:rsidP="00472EF4">
            <w:pPr>
              <w:jc w:val="center"/>
              <w:rPr>
                <w:rFonts w:ascii="Times New Roman" w:hAnsi="Times New Roman"/>
              </w:rPr>
            </w:pPr>
            <w:r>
              <w:rPr>
                <w:rFonts w:ascii="Times New Roman" w:hAnsi="Times New Roman"/>
              </w:rPr>
              <w:t>27.</w:t>
            </w:r>
            <w:r w:rsidRPr="006E2717">
              <w:rPr>
                <w:rFonts w:ascii="Times New Roman" w:hAnsi="Times New Roman"/>
              </w:rPr>
              <w:t>22</w:t>
            </w:r>
          </w:p>
        </w:tc>
        <w:tc>
          <w:tcPr>
            <w:tcW w:w="1444" w:type="dxa"/>
            <w:vAlign w:val="center"/>
          </w:tcPr>
          <w:p w:rsidR="00DB2CBA" w:rsidRPr="006E2717" w:rsidRDefault="00DB2CBA" w:rsidP="00472EF4">
            <w:pPr>
              <w:jc w:val="center"/>
              <w:rPr>
                <w:rFonts w:ascii="Times New Roman" w:hAnsi="Times New Roman"/>
              </w:rPr>
            </w:pPr>
            <w:r w:rsidRPr="006E2717">
              <w:rPr>
                <w:rFonts w:ascii="Times New Roman" w:hAnsi="Times New Roman"/>
              </w:rPr>
              <w:t>11</w:t>
            </w:r>
            <w:r>
              <w:rPr>
                <w:rFonts w:ascii="Times New Roman" w:hAnsi="Times New Roman"/>
              </w:rPr>
              <w:t>.</w:t>
            </w:r>
            <w:r w:rsidRPr="006E2717">
              <w:rPr>
                <w:rFonts w:ascii="Times New Roman" w:hAnsi="Times New Roman"/>
              </w:rPr>
              <w:t>21</w:t>
            </w:r>
          </w:p>
        </w:tc>
      </w:tr>
      <w:tr w:rsidR="00DB2CBA" w:rsidRPr="00A96D82" w:rsidTr="00DB2CBA">
        <w:tc>
          <w:tcPr>
            <w:tcW w:w="648"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5.</w:t>
            </w:r>
          </w:p>
        </w:tc>
        <w:tc>
          <w:tcPr>
            <w:tcW w:w="900" w:type="dxa"/>
            <w:vAlign w:val="center"/>
          </w:tcPr>
          <w:p w:rsidR="00DB2CBA" w:rsidRPr="006E2717" w:rsidRDefault="00DB2CBA" w:rsidP="00472EF4">
            <w:pPr>
              <w:jc w:val="center"/>
              <w:rPr>
                <w:rFonts w:ascii="Times New Roman" w:hAnsi="Times New Roman"/>
              </w:rPr>
            </w:pPr>
            <w:r w:rsidRPr="006E2717">
              <w:rPr>
                <w:rFonts w:ascii="Times New Roman" w:hAnsi="Times New Roman"/>
              </w:rPr>
              <w:t>91</w:t>
            </w:r>
          </w:p>
        </w:tc>
        <w:tc>
          <w:tcPr>
            <w:tcW w:w="4500" w:type="dxa"/>
          </w:tcPr>
          <w:p w:rsidR="00DB2CBA" w:rsidRPr="00264190" w:rsidRDefault="00DB2CBA" w:rsidP="00472EF4">
            <w:pPr>
              <w:contextualSpacing/>
              <w:jc w:val="both"/>
              <w:rPr>
                <w:rFonts w:ascii="Times New Roman" w:hAnsi="Times New Roman"/>
                <w:szCs w:val="24"/>
              </w:rPr>
            </w:pPr>
            <w:r w:rsidRPr="00264190">
              <w:rPr>
                <w:rFonts w:ascii="Times New Roman" w:hAnsi="Times New Roman"/>
                <w:w w:val="106"/>
                <w:szCs w:val="12"/>
              </w:rPr>
              <w:t>2,5-Octadecadiynoic</w:t>
            </w:r>
            <w:r w:rsidRPr="00264190">
              <w:rPr>
                <w:rFonts w:ascii="Times New Roman" w:hAnsi="Times New Roman"/>
                <w:spacing w:val="-1"/>
                <w:w w:val="106"/>
                <w:szCs w:val="12"/>
              </w:rPr>
              <w:t xml:space="preserve"> </w:t>
            </w:r>
            <w:r w:rsidRPr="00264190">
              <w:rPr>
                <w:rFonts w:ascii="Times New Roman" w:hAnsi="Times New Roman"/>
                <w:szCs w:val="12"/>
              </w:rPr>
              <w:t>acid,</w:t>
            </w:r>
            <w:r w:rsidRPr="00264190">
              <w:rPr>
                <w:rFonts w:ascii="Times New Roman" w:hAnsi="Times New Roman"/>
                <w:spacing w:val="15"/>
                <w:szCs w:val="12"/>
              </w:rPr>
              <w:t xml:space="preserve"> </w:t>
            </w:r>
            <w:r w:rsidRPr="00264190">
              <w:rPr>
                <w:rFonts w:ascii="Times New Roman" w:hAnsi="Times New Roman"/>
                <w:szCs w:val="12"/>
              </w:rPr>
              <w:t>methyl</w:t>
            </w:r>
            <w:r w:rsidRPr="00264190">
              <w:rPr>
                <w:rFonts w:ascii="Times New Roman" w:hAnsi="Times New Roman"/>
                <w:spacing w:val="22"/>
                <w:szCs w:val="12"/>
              </w:rPr>
              <w:t xml:space="preserve"> </w:t>
            </w:r>
            <w:r w:rsidRPr="00264190">
              <w:rPr>
                <w:rFonts w:ascii="Times New Roman" w:hAnsi="Times New Roman"/>
                <w:w w:val="106"/>
                <w:szCs w:val="12"/>
              </w:rPr>
              <w:t>ester</w:t>
            </w:r>
          </w:p>
        </w:tc>
        <w:tc>
          <w:tcPr>
            <w:tcW w:w="1620" w:type="dxa"/>
            <w:vAlign w:val="center"/>
          </w:tcPr>
          <w:p w:rsidR="00DB2CBA" w:rsidRPr="006E2717" w:rsidRDefault="00DB2CBA" w:rsidP="00472EF4">
            <w:pPr>
              <w:jc w:val="center"/>
              <w:rPr>
                <w:rFonts w:ascii="Times New Roman" w:hAnsi="Times New Roman"/>
              </w:rPr>
            </w:pPr>
            <w:r>
              <w:rPr>
                <w:rFonts w:ascii="Times New Roman" w:hAnsi="Times New Roman"/>
              </w:rPr>
              <w:t>31.</w:t>
            </w:r>
            <w:r w:rsidRPr="006E2717">
              <w:rPr>
                <w:rFonts w:ascii="Times New Roman" w:hAnsi="Times New Roman"/>
              </w:rPr>
              <w:t>86</w:t>
            </w:r>
          </w:p>
        </w:tc>
        <w:tc>
          <w:tcPr>
            <w:tcW w:w="1444" w:type="dxa"/>
            <w:vAlign w:val="center"/>
          </w:tcPr>
          <w:p w:rsidR="00DB2CBA" w:rsidRPr="006E2717" w:rsidRDefault="00DB2CBA" w:rsidP="00472EF4">
            <w:pPr>
              <w:jc w:val="center"/>
              <w:rPr>
                <w:rFonts w:ascii="Times New Roman" w:hAnsi="Times New Roman"/>
              </w:rPr>
            </w:pPr>
            <w:r>
              <w:rPr>
                <w:rFonts w:ascii="Times New Roman" w:hAnsi="Times New Roman"/>
              </w:rPr>
              <w:t>4.</w:t>
            </w:r>
            <w:r w:rsidRPr="006E2717">
              <w:rPr>
                <w:rFonts w:ascii="Times New Roman" w:hAnsi="Times New Roman"/>
              </w:rPr>
              <w:t>07</w:t>
            </w:r>
          </w:p>
        </w:tc>
      </w:tr>
      <w:tr w:rsidR="00DB2CBA" w:rsidRPr="00A96D82" w:rsidTr="00DB2CBA">
        <w:tc>
          <w:tcPr>
            <w:tcW w:w="648" w:type="dxa"/>
          </w:tcPr>
          <w:p w:rsidR="00DB2CBA" w:rsidRPr="00A96D82" w:rsidRDefault="00DB2CBA" w:rsidP="00472EF4">
            <w:pPr>
              <w:contextualSpacing/>
              <w:jc w:val="center"/>
              <w:rPr>
                <w:rFonts w:ascii="Times New Roman" w:hAnsi="Times New Roman"/>
                <w:szCs w:val="24"/>
              </w:rPr>
            </w:pPr>
            <w:r w:rsidRPr="00A96D82">
              <w:rPr>
                <w:rFonts w:ascii="Times New Roman" w:hAnsi="Times New Roman"/>
                <w:szCs w:val="24"/>
              </w:rPr>
              <w:t>6.</w:t>
            </w:r>
          </w:p>
        </w:tc>
        <w:tc>
          <w:tcPr>
            <w:tcW w:w="900" w:type="dxa"/>
            <w:vAlign w:val="center"/>
          </w:tcPr>
          <w:p w:rsidR="00DB2CBA" w:rsidRPr="006E2717" w:rsidRDefault="00DB2CBA" w:rsidP="00472EF4">
            <w:pPr>
              <w:jc w:val="center"/>
              <w:rPr>
                <w:rFonts w:ascii="Times New Roman" w:hAnsi="Times New Roman"/>
              </w:rPr>
            </w:pPr>
            <w:r w:rsidRPr="006E2717">
              <w:rPr>
                <w:rFonts w:ascii="Times New Roman" w:hAnsi="Times New Roman"/>
              </w:rPr>
              <w:t>118</w:t>
            </w:r>
          </w:p>
        </w:tc>
        <w:tc>
          <w:tcPr>
            <w:tcW w:w="4500" w:type="dxa"/>
          </w:tcPr>
          <w:p w:rsidR="00DB2CBA" w:rsidRPr="00264190" w:rsidRDefault="00DB2CBA" w:rsidP="00472EF4">
            <w:pPr>
              <w:contextualSpacing/>
              <w:jc w:val="both"/>
              <w:rPr>
                <w:rFonts w:ascii="Times New Roman" w:hAnsi="Times New Roman"/>
                <w:szCs w:val="24"/>
              </w:rPr>
            </w:pPr>
            <w:r w:rsidRPr="00264190">
              <w:rPr>
                <w:rFonts w:ascii="Times New Roman" w:hAnsi="Times New Roman"/>
                <w:w w:val="106"/>
                <w:szCs w:val="12"/>
              </w:rPr>
              <w:t>2-Cyclohexene-1-carboxylic</w:t>
            </w:r>
            <w:r w:rsidRPr="00264190">
              <w:rPr>
                <w:rFonts w:ascii="Times New Roman" w:hAnsi="Times New Roman"/>
                <w:spacing w:val="-1"/>
                <w:w w:val="106"/>
                <w:szCs w:val="12"/>
              </w:rPr>
              <w:t xml:space="preserve"> </w:t>
            </w:r>
            <w:r w:rsidRPr="00264190">
              <w:rPr>
                <w:rFonts w:ascii="Times New Roman" w:hAnsi="Times New Roman"/>
                <w:szCs w:val="12"/>
              </w:rPr>
              <w:t>acid,</w:t>
            </w:r>
            <w:r w:rsidRPr="00264190">
              <w:rPr>
                <w:rFonts w:ascii="Times New Roman" w:hAnsi="Times New Roman"/>
                <w:spacing w:val="15"/>
                <w:szCs w:val="12"/>
              </w:rPr>
              <w:t xml:space="preserve"> </w:t>
            </w:r>
            <w:r w:rsidRPr="00264190">
              <w:rPr>
                <w:rFonts w:ascii="Times New Roman" w:hAnsi="Times New Roman"/>
                <w:w w:val="106"/>
                <w:szCs w:val="12"/>
              </w:rPr>
              <w:t xml:space="preserve">1,3-dimethyl-2-(3-methyl-7-o </w:t>
            </w:r>
            <w:r w:rsidRPr="00264190">
              <w:rPr>
                <w:rFonts w:ascii="Times New Roman" w:hAnsi="Times New Roman"/>
                <w:w w:val="106"/>
                <w:szCs w:val="24"/>
              </w:rPr>
              <w:t>(</w:t>
            </w:r>
            <w:r w:rsidRPr="00264190">
              <w:rPr>
                <w:rFonts w:ascii="Times New Roman" w:hAnsi="Times New Roman"/>
                <w:szCs w:val="24"/>
              </w:rPr>
              <w:t>Methyl trisporate B)</w:t>
            </w:r>
          </w:p>
        </w:tc>
        <w:tc>
          <w:tcPr>
            <w:tcW w:w="1620" w:type="dxa"/>
            <w:vAlign w:val="center"/>
          </w:tcPr>
          <w:p w:rsidR="00DB2CBA" w:rsidRPr="006E2717" w:rsidRDefault="00DB2CBA" w:rsidP="00472EF4">
            <w:pPr>
              <w:jc w:val="center"/>
              <w:rPr>
                <w:rFonts w:ascii="Times New Roman" w:hAnsi="Times New Roman"/>
              </w:rPr>
            </w:pPr>
            <w:r>
              <w:rPr>
                <w:rFonts w:ascii="Times New Roman" w:hAnsi="Times New Roman"/>
              </w:rPr>
              <w:t>37.</w:t>
            </w:r>
            <w:r w:rsidRPr="006E2717">
              <w:rPr>
                <w:rFonts w:ascii="Times New Roman" w:hAnsi="Times New Roman"/>
              </w:rPr>
              <w:t>57</w:t>
            </w:r>
          </w:p>
        </w:tc>
        <w:tc>
          <w:tcPr>
            <w:tcW w:w="1444" w:type="dxa"/>
            <w:vAlign w:val="center"/>
          </w:tcPr>
          <w:p w:rsidR="00DB2CBA" w:rsidRPr="006E2717" w:rsidRDefault="00DB2CBA" w:rsidP="00472EF4">
            <w:pPr>
              <w:jc w:val="center"/>
              <w:rPr>
                <w:rFonts w:ascii="Times New Roman" w:hAnsi="Times New Roman"/>
              </w:rPr>
            </w:pPr>
            <w:r>
              <w:rPr>
                <w:rFonts w:ascii="Times New Roman" w:hAnsi="Times New Roman"/>
              </w:rPr>
              <w:t>2.</w:t>
            </w:r>
            <w:r w:rsidRPr="006E2717">
              <w:rPr>
                <w:rFonts w:ascii="Times New Roman" w:hAnsi="Times New Roman"/>
              </w:rPr>
              <w:t>13</w:t>
            </w:r>
          </w:p>
        </w:tc>
      </w:tr>
    </w:tbl>
    <w:p w:rsidR="00DB2CBA" w:rsidRDefault="00DB2CBA" w:rsidP="00DB2CBA">
      <w:pPr>
        <w:spacing w:after="0" w:line="240" w:lineRule="auto"/>
        <w:ind w:firstLine="720"/>
        <w:jc w:val="both"/>
        <w:rPr>
          <w:rFonts w:asciiTheme="majorBidi" w:hAnsiTheme="majorBidi" w:cstheme="majorBidi"/>
          <w:bCs/>
          <w:lang w:val="en-IN"/>
        </w:rPr>
      </w:pPr>
    </w:p>
    <w:p w:rsidR="005D18D9" w:rsidRDefault="00DB2CBA" w:rsidP="00DA5557">
      <w:pPr>
        <w:spacing w:line="240" w:lineRule="auto"/>
        <w:ind w:firstLine="720"/>
        <w:jc w:val="both"/>
        <w:rPr>
          <w:rFonts w:asciiTheme="majorBidi" w:hAnsiTheme="majorBidi" w:cstheme="majorBidi"/>
          <w:bCs/>
          <w:lang w:val="en-IN"/>
        </w:rPr>
      </w:pPr>
      <w:r w:rsidRPr="00DB2CBA">
        <w:rPr>
          <w:rFonts w:asciiTheme="majorBidi" w:hAnsiTheme="majorBidi" w:cstheme="majorBidi"/>
          <w:bCs/>
          <w:lang w:val="en-IN"/>
        </w:rPr>
        <w:t>In the nut grass root extract using chloroform solvent, from 142 compounds, there are 11 main compounds. The compound is α-Copaene; 1H-Cyclopropa [a] naphthalene, 1a, 2,3,3a, 4,5,6,7b-octahydro-1 (β-Maaliene); 1,4,6-Trimethyl-1,2,3,3a, 4,7,8,8a-octahydro-4,7-ethanoazulene (Rotundene); Guaia-1 (10), 11-diene (α-Bulnesene); (1aR, 3aR, 4R, 7R, 8aS) -1a, 4,9,9-Tetramethyloctahydro-3a, 7-met; Caryophyllene oxide; 4,6,6-Trimethyl-2- (3-methylbuta-1,3-dienyl) -3-oxatricyclo [5.1 .; Longiverbenone; (3aR, 4R, 7R) -1,4,9,9-Tetramethyl-3,4,5,6,7,8-hexahydro-2H-3a (Cyperotundone); cis-Z-a-Bisabolene epoxide; 5,8-Dimethyl-1,4,6,7-tetrahydronaphthalene.</w:t>
      </w:r>
    </w:p>
    <w:p w:rsidR="00DB2CBA" w:rsidRDefault="00DB2CBA" w:rsidP="00DB2CBA">
      <w:pPr>
        <w:spacing w:after="0" w:line="240" w:lineRule="auto"/>
        <w:ind w:firstLine="720"/>
        <w:jc w:val="both"/>
        <w:rPr>
          <w:rFonts w:asciiTheme="majorBidi" w:hAnsiTheme="majorBidi" w:cstheme="majorBidi"/>
          <w:bCs/>
          <w:lang w:val="en-IN"/>
        </w:rPr>
      </w:pPr>
    </w:p>
    <w:p w:rsidR="002C7E29" w:rsidRDefault="002C7E29" w:rsidP="00DB2CBA">
      <w:pPr>
        <w:spacing w:after="0" w:line="240" w:lineRule="auto"/>
        <w:ind w:firstLine="720"/>
        <w:jc w:val="both"/>
        <w:rPr>
          <w:rFonts w:asciiTheme="majorBidi" w:hAnsiTheme="majorBidi" w:cstheme="majorBidi"/>
          <w:bCs/>
          <w:lang w:val="en-IN"/>
        </w:rPr>
      </w:pPr>
    </w:p>
    <w:p w:rsidR="002C7E29" w:rsidRDefault="002C7E29" w:rsidP="00DB2CBA">
      <w:pPr>
        <w:spacing w:after="0" w:line="240" w:lineRule="auto"/>
        <w:ind w:firstLine="720"/>
        <w:jc w:val="both"/>
        <w:rPr>
          <w:rFonts w:asciiTheme="majorBidi" w:hAnsiTheme="majorBidi" w:cstheme="majorBidi"/>
          <w:bCs/>
          <w:lang w:val="en-IN"/>
        </w:rPr>
      </w:pPr>
    </w:p>
    <w:p w:rsidR="002C7E29" w:rsidRDefault="002C7E29" w:rsidP="00DB2CBA">
      <w:pPr>
        <w:spacing w:after="0" w:line="240" w:lineRule="auto"/>
        <w:ind w:firstLine="720"/>
        <w:jc w:val="both"/>
        <w:rPr>
          <w:rFonts w:asciiTheme="majorBidi" w:hAnsiTheme="majorBidi" w:cstheme="majorBidi"/>
          <w:bCs/>
          <w:lang w:val="en-IN"/>
        </w:rPr>
      </w:pPr>
    </w:p>
    <w:p w:rsidR="002C7E29" w:rsidRDefault="002C7E29" w:rsidP="00DB2CBA">
      <w:pPr>
        <w:spacing w:after="0" w:line="240" w:lineRule="auto"/>
        <w:ind w:firstLine="720"/>
        <w:jc w:val="both"/>
        <w:rPr>
          <w:rFonts w:asciiTheme="majorBidi" w:hAnsiTheme="majorBidi" w:cstheme="majorBidi"/>
          <w:bCs/>
          <w:lang w:val="en-IN"/>
        </w:rPr>
      </w:pPr>
    </w:p>
    <w:p w:rsidR="002C7E29" w:rsidRDefault="002C7E29" w:rsidP="00DB2CBA">
      <w:pPr>
        <w:spacing w:after="0" w:line="240" w:lineRule="auto"/>
        <w:ind w:firstLine="720"/>
        <w:jc w:val="both"/>
        <w:rPr>
          <w:rFonts w:asciiTheme="majorBidi" w:hAnsiTheme="majorBidi" w:cstheme="majorBidi"/>
          <w:bCs/>
          <w:lang w:val="en-IN"/>
        </w:rPr>
      </w:pPr>
    </w:p>
    <w:p w:rsidR="002C7E29" w:rsidRDefault="002C7E29" w:rsidP="00DB2CBA">
      <w:pPr>
        <w:spacing w:after="0" w:line="240" w:lineRule="auto"/>
        <w:ind w:firstLine="720"/>
        <w:jc w:val="both"/>
        <w:rPr>
          <w:rFonts w:asciiTheme="majorBidi" w:hAnsiTheme="majorBidi" w:cstheme="majorBidi"/>
          <w:bCs/>
          <w:lang w:val="en-IN"/>
        </w:rPr>
      </w:pPr>
    </w:p>
    <w:p w:rsidR="002C7E29" w:rsidRDefault="002C7E29" w:rsidP="00DB2CBA">
      <w:pPr>
        <w:spacing w:after="0" w:line="240" w:lineRule="auto"/>
        <w:ind w:firstLine="720"/>
        <w:jc w:val="both"/>
        <w:rPr>
          <w:rFonts w:asciiTheme="majorBidi" w:hAnsiTheme="majorBidi" w:cstheme="majorBidi"/>
          <w:bCs/>
          <w:lang w:val="en-IN"/>
        </w:rPr>
      </w:pPr>
    </w:p>
    <w:p w:rsidR="00DB2CBA" w:rsidRDefault="00DB2CBA" w:rsidP="00DB2CBA">
      <w:pPr>
        <w:spacing w:after="0" w:line="240" w:lineRule="auto"/>
        <w:jc w:val="center"/>
        <w:rPr>
          <w:rFonts w:asciiTheme="majorBidi" w:hAnsiTheme="majorBidi" w:cstheme="majorBidi"/>
          <w:bCs/>
          <w:lang w:val="en-IN"/>
        </w:rPr>
      </w:pPr>
      <w:r w:rsidRPr="00DB2CBA">
        <w:rPr>
          <w:rFonts w:asciiTheme="majorBidi" w:hAnsiTheme="majorBidi" w:cstheme="majorBidi"/>
          <w:b/>
          <w:bCs/>
          <w:lang w:val="en-IN"/>
        </w:rPr>
        <w:lastRenderedPageBreak/>
        <w:t xml:space="preserve">Table </w:t>
      </w:r>
      <w:r>
        <w:rPr>
          <w:rFonts w:asciiTheme="majorBidi" w:hAnsiTheme="majorBidi" w:cstheme="majorBidi"/>
          <w:b/>
          <w:bCs/>
          <w:lang w:val="en-IN"/>
        </w:rPr>
        <w:t>2</w:t>
      </w:r>
      <w:r>
        <w:rPr>
          <w:rFonts w:asciiTheme="majorBidi" w:hAnsiTheme="majorBidi" w:cstheme="majorBidi"/>
          <w:bCs/>
          <w:lang w:val="en-IN"/>
        </w:rPr>
        <w:t xml:space="preserve">. </w:t>
      </w:r>
      <w:r w:rsidRPr="00DB2CBA">
        <w:rPr>
          <w:rFonts w:asciiTheme="majorBidi" w:hAnsiTheme="majorBidi" w:cstheme="majorBidi"/>
          <w:bCs/>
          <w:lang w:val="en-IN"/>
        </w:rPr>
        <w:t xml:space="preserve">The main compounds detected in the </w:t>
      </w:r>
      <w:r>
        <w:rPr>
          <w:rFonts w:asciiTheme="majorBidi" w:hAnsiTheme="majorBidi" w:cstheme="majorBidi"/>
          <w:bCs/>
          <w:lang w:val="en-IN"/>
        </w:rPr>
        <w:t xml:space="preserve">chloroform </w:t>
      </w:r>
      <w:r w:rsidRPr="00DB2CBA">
        <w:rPr>
          <w:rFonts w:asciiTheme="majorBidi" w:hAnsiTheme="majorBidi" w:cstheme="majorBidi"/>
          <w:bCs/>
          <w:lang w:val="en-IN"/>
        </w:rPr>
        <w:t xml:space="preserve">extract of nut grass </w:t>
      </w:r>
      <w:r>
        <w:rPr>
          <w:rFonts w:asciiTheme="majorBidi" w:hAnsiTheme="majorBidi" w:cstheme="majorBidi"/>
          <w:bCs/>
          <w:lang w:val="en-IN"/>
        </w:rPr>
        <w:t>rhizomes</w:t>
      </w:r>
    </w:p>
    <w:tbl>
      <w:tblPr>
        <w:tblStyle w:val="TableGrid"/>
        <w:tblW w:w="9112" w:type="dxa"/>
        <w:tblLook w:val="04A0"/>
      </w:tblPr>
      <w:tblGrid>
        <w:gridCol w:w="648"/>
        <w:gridCol w:w="900"/>
        <w:gridCol w:w="4500"/>
        <w:gridCol w:w="1620"/>
        <w:gridCol w:w="1444"/>
      </w:tblGrid>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No.</w:t>
            </w:r>
          </w:p>
        </w:tc>
        <w:tc>
          <w:tcPr>
            <w:tcW w:w="900"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Nomor Puncak</w:t>
            </w:r>
          </w:p>
        </w:tc>
        <w:tc>
          <w:tcPr>
            <w:tcW w:w="4500"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Senyawa</w:t>
            </w:r>
          </w:p>
        </w:tc>
        <w:tc>
          <w:tcPr>
            <w:tcW w:w="1620"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Waktu Retensi (menit)</w:t>
            </w:r>
          </w:p>
        </w:tc>
        <w:tc>
          <w:tcPr>
            <w:tcW w:w="1444"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Area Puncak (%)</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1.</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24</w:t>
            </w:r>
          </w:p>
        </w:tc>
        <w:tc>
          <w:tcPr>
            <w:tcW w:w="4500" w:type="dxa"/>
            <w:vAlign w:val="bottom"/>
          </w:tcPr>
          <w:p w:rsidR="00DB2CBA" w:rsidRPr="00B0024F" w:rsidRDefault="00DB2CBA" w:rsidP="00472EF4">
            <w:pPr>
              <w:rPr>
                <w:rFonts w:ascii="Times New Roman" w:hAnsi="Times New Roman" w:cs="Times New Roman"/>
                <w:color w:val="000000"/>
              </w:rPr>
            </w:pPr>
            <w:r w:rsidRPr="00B0024F">
              <w:rPr>
                <w:rFonts w:ascii="Times New Roman" w:hAnsi="Times New Roman" w:cs="Times New Roman"/>
                <w:color w:val="000000"/>
              </w:rPr>
              <w:t xml:space="preserve">α-Copaene </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19.45</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2.11</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2.</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27</w:t>
            </w:r>
          </w:p>
        </w:tc>
        <w:tc>
          <w:tcPr>
            <w:tcW w:w="4500" w:type="dxa"/>
            <w:vAlign w:val="bottom"/>
          </w:tcPr>
          <w:p w:rsidR="00DB2CBA" w:rsidRPr="001E1EA1" w:rsidRDefault="00DB2CBA" w:rsidP="00472EF4">
            <w:pPr>
              <w:rPr>
                <w:rFonts w:ascii="Times New Roman" w:hAnsi="Times New Roman" w:cs="Times New Roman"/>
                <w:color w:val="000000"/>
              </w:rPr>
            </w:pPr>
            <w:r w:rsidRPr="00B0024F">
              <w:rPr>
                <w:rFonts w:ascii="Times New Roman" w:hAnsi="Times New Roman" w:cs="Times New Roman"/>
                <w:color w:val="000000"/>
              </w:rPr>
              <w:t>1H-Cyclopropa[a]naphthalene, 1a,2,3,3a,4,5,6,7b-octahydro-1</w:t>
            </w:r>
            <w:r>
              <w:rPr>
                <w:rFonts w:ascii="Times New Roman" w:hAnsi="Times New Roman"/>
                <w:color w:val="000000"/>
              </w:rPr>
              <w:t xml:space="preserve"> (β-Maaliene)</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20.11</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33.02</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3.</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34</w:t>
            </w:r>
          </w:p>
        </w:tc>
        <w:tc>
          <w:tcPr>
            <w:tcW w:w="4500" w:type="dxa"/>
            <w:vAlign w:val="bottom"/>
          </w:tcPr>
          <w:p w:rsidR="00DB2CBA" w:rsidRPr="001E1EA1" w:rsidRDefault="00DB2CBA" w:rsidP="00472EF4">
            <w:pPr>
              <w:rPr>
                <w:rFonts w:ascii="Times New Roman" w:hAnsi="Times New Roman" w:cs="Times New Roman"/>
                <w:color w:val="000000"/>
              </w:rPr>
            </w:pPr>
            <w:r w:rsidRPr="00B0024F">
              <w:rPr>
                <w:rFonts w:ascii="Times New Roman" w:hAnsi="Times New Roman" w:cs="Times New Roman"/>
                <w:color w:val="000000"/>
              </w:rPr>
              <w:t>1,4,6-Trimethyl-1,2,3,3a,4,7,8,8a-octahydro-4,7-ethanoazulene</w:t>
            </w:r>
            <w:r>
              <w:rPr>
                <w:rFonts w:ascii="Times New Roman" w:hAnsi="Times New Roman"/>
                <w:color w:val="000000"/>
              </w:rPr>
              <w:t xml:space="preserve"> (Rotundene)</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21.6</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2.28</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4.</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39</w:t>
            </w:r>
          </w:p>
        </w:tc>
        <w:tc>
          <w:tcPr>
            <w:tcW w:w="4500" w:type="dxa"/>
            <w:vAlign w:val="bottom"/>
          </w:tcPr>
          <w:p w:rsidR="00DB2CBA" w:rsidRPr="001E1EA1" w:rsidRDefault="00DB2CBA" w:rsidP="00472EF4">
            <w:pPr>
              <w:rPr>
                <w:rFonts w:ascii="Times New Roman" w:hAnsi="Times New Roman" w:cs="Times New Roman"/>
                <w:color w:val="000000"/>
              </w:rPr>
            </w:pPr>
            <w:r w:rsidRPr="00B0024F">
              <w:rPr>
                <w:rFonts w:ascii="Times New Roman" w:hAnsi="Times New Roman" w:cs="Times New Roman"/>
                <w:color w:val="000000"/>
              </w:rPr>
              <w:t>Guaia-1(10),11-diene</w:t>
            </w:r>
            <w:r>
              <w:rPr>
                <w:rFonts w:ascii="Times New Roman" w:hAnsi="Times New Roman"/>
                <w:color w:val="000000"/>
              </w:rPr>
              <w:t xml:space="preserve"> (α-Bulnesene)</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22.44</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1.3</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5.</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47</w:t>
            </w:r>
          </w:p>
        </w:tc>
        <w:tc>
          <w:tcPr>
            <w:tcW w:w="4500" w:type="dxa"/>
            <w:vAlign w:val="bottom"/>
          </w:tcPr>
          <w:p w:rsidR="00DB2CBA" w:rsidRPr="001E1EA1" w:rsidRDefault="00DB2CBA" w:rsidP="00472EF4">
            <w:pPr>
              <w:rPr>
                <w:rFonts w:ascii="Times New Roman" w:hAnsi="Times New Roman" w:cs="Times New Roman"/>
                <w:color w:val="000000"/>
              </w:rPr>
            </w:pPr>
            <w:r w:rsidRPr="00B0024F">
              <w:rPr>
                <w:rFonts w:ascii="Times New Roman" w:hAnsi="Times New Roman" w:cs="Times New Roman"/>
                <w:color w:val="000000"/>
              </w:rPr>
              <w:t>(1aR,3aR,4R,7R,8aS)-1a,4,9,9-Tetramethyloctahydro-3a,7-met</w:t>
            </w:r>
            <w:r>
              <w:rPr>
                <w:rFonts w:ascii="Times New Roman" w:hAnsi="Times New Roman"/>
                <w:color w:val="000000"/>
              </w:rPr>
              <w:t xml:space="preserve"> </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23.35</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1.15</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Pr>
                <w:rFonts w:ascii="Times New Roman" w:hAnsi="Times New Roman"/>
              </w:rPr>
              <w:t>6.</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58</w:t>
            </w:r>
          </w:p>
        </w:tc>
        <w:tc>
          <w:tcPr>
            <w:tcW w:w="4500" w:type="dxa"/>
            <w:vAlign w:val="center"/>
          </w:tcPr>
          <w:p w:rsidR="00DB2CBA" w:rsidRPr="00B0024F" w:rsidRDefault="00DB2CBA" w:rsidP="00472EF4">
            <w:pPr>
              <w:rPr>
                <w:rFonts w:ascii="Times New Roman" w:hAnsi="Times New Roman" w:cs="Times New Roman"/>
                <w:color w:val="000000"/>
              </w:rPr>
            </w:pPr>
            <w:r w:rsidRPr="00B0024F">
              <w:rPr>
                <w:rFonts w:ascii="Times New Roman" w:hAnsi="Times New Roman" w:cs="Times New Roman"/>
                <w:color w:val="000000"/>
              </w:rPr>
              <w:t>Caryophyllene oxide</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24.65</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2.78</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7.</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64</w:t>
            </w:r>
          </w:p>
        </w:tc>
        <w:tc>
          <w:tcPr>
            <w:tcW w:w="4500" w:type="dxa"/>
            <w:vAlign w:val="bottom"/>
          </w:tcPr>
          <w:p w:rsidR="00DB2CBA" w:rsidRPr="00B0024F" w:rsidRDefault="00DB2CBA" w:rsidP="00472EF4">
            <w:pPr>
              <w:rPr>
                <w:rFonts w:ascii="Times New Roman" w:hAnsi="Times New Roman" w:cs="Times New Roman"/>
                <w:color w:val="000000"/>
              </w:rPr>
            </w:pPr>
            <w:r w:rsidRPr="00887FCD">
              <w:rPr>
                <w:rFonts w:ascii="Times New Roman" w:hAnsi="Times New Roman" w:cs="Times New Roman"/>
                <w:color w:val="000000"/>
              </w:rPr>
              <w:t>4,6,6-Trimethyl-2-(3-methylbut</w:t>
            </w:r>
            <w:r w:rsidRPr="00887FCD">
              <w:rPr>
                <w:rFonts w:ascii="Times New Roman" w:hAnsi="Times New Roman"/>
                <w:color w:val="000000"/>
              </w:rPr>
              <w:t>a-1,3-dienyl)-3-oxatricyclo[5.1.0.0(2,4)] octane</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25.52</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1.66</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 xml:space="preserve">8. </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74</w:t>
            </w:r>
          </w:p>
        </w:tc>
        <w:tc>
          <w:tcPr>
            <w:tcW w:w="4500" w:type="dxa"/>
            <w:vAlign w:val="bottom"/>
          </w:tcPr>
          <w:p w:rsidR="00DB2CBA" w:rsidRPr="00B0024F" w:rsidRDefault="00DB2CBA" w:rsidP="00472EF4">
            <w:pPr>
              <w:rPr>
                <w:rFonts w:ascii="Times New Roman" w:hAnsi="Times New Roman" w:cs="Times New Roman"/>
                <w:color w:val="000000"/>
              </w:rPr>
            </w:pPr>
            <w:r w:rsidRPr="00B0024F">
              <w:rPr>
                <w:rFonts w:ascii="Times New Roman" w:hAnsi="Times New Roman" w:cs="Times New Roman"/>
                <w:color w:val="000000"/>
              </w:rPr>
              <w:t xml:space="preserve">Longiverbenone </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26.85</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2.91</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9.</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78</w:t>
            </w:r>
          </w:p>
        </w:tc>
        <w:tc>
          <w:tcPr>
            <w:tcW w:w="4500" w:type="dxa"/>
            <w:vAlign w:val="bottom"/>
          </w:tcPr>
          <w:p w:rsidR="00DB2CBA" w:rsidRPr="006F6D8B" w:rsidRDefault="00DB2CBA" w:rsidP="00472EF4">
            <w:pPr>
              <w:rPr>
                <w:rFonts w:ascii="Times New Roman" w:hAnsi="Times New Roman" w:cs="Times New Roman"/>
                <w:color w:val="000000"/>
              </w:rPr>
            </w:pPr>
            <w:r w:rsidRPr="00B0024F">
              <w:rPr>
                <w:rFonts w:ascii="Times New Roman" w:hAnsi="Times New Roman" w:cs="Times New Roman"/>
                <w:color w:val="000000"/>
              </w:rPr>
              <w:t>(3aR,4R,7R)-1,4,9,9-Tetramethyl-3,4,5,6,7,8-hexahydro-2H-3a</w:t>
            </w:r>
            <w:r>
              <w:rPr>
                <w:rFonts w:ascii="Times New Roman" w:hAnsi="Times New Roman"/>
                <w:color w:val="000000"/>
              </w:rPr>
              <w:t xml:space="preserve"> </w:t>
            </w:r>
            <w:r w:rsidRPr="006F6D8B">
              <w:rPr>
                <w:rFonts w:ascii="Times New Roman" w:hAnsi="Times New Roman"/>
              </w:rPr>
              <w:t>(Cyperotundone)</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27.26</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11.49</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10.</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103</w:t>
            </w:r>
          </w:p>
        </w:tc>
        <w:tc>
          <w:tcPr>
            <w:tcW w:w="4500" w:type="dxa"/>
            <w:vAlign w:val="bottom"/>
          </w:tcPr>
          <w:p w:rsidR="00DB2CBA" w:rsidRPr="00B0024F" w:rsidRDefault="00DB2CBA" w:rsidP="00472EF4">
            <w:pPr>
              <w:rPr>
                <w:rFonts w:ascii="Times New Roman" w:hAnsi="Times New Roman" w:cs="Times New Roman"/>
                <w:color w:val="000000"/>
              </w:rPr>
            </w:pPr>
            <w:r w:rsidRPr="00B0024F">
              <w:rPr>
                <w:rFonts w:ascii="Times New Roman" w:hAnsi="Times New Roman" w:cs="Times New Roman"/>
                <w:color w:val="000000"/>
              </w:rPr>
              <w:t>cis-Z-a-Bisabolene epoxide</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30.17</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1.08</w:t>
            </w:r>
          </w:p>
        </w:tc>
      </w:tr>
      <w:tr w:rsidR="00DB2CBA" w:rsidRPr="00B0024F" w:rsidTr="00DB2CBA">
        <w:tc>
          <w:tcPr>
            <w:tcW w:w="648" w:type="dxa"/>
          </w:tcPr>
          <w:p w:rsidR="00DB2CBA" w:rsidRPr="00B0024F" w:rsidRDefault="00DB2CBA" w:rsidP="00472EF4">
            <w:pPr>
              <w:contextualSpacing/>
              <w:jc w:val="center"/>
              <w:rPr>
                <w:rFonts w:ascii="Times New Roman" w:hAnsi="Times New Roman" w:cs="Times New Roman"/>
              </w:rPr>
            </w:pPr>
            <w:r w:rsidRPr="00B0024F">
              <w:rPr>
                <w:rFonts w:ascii="Times New Roman" w:hAnsi="Times New Roman" w:cs="Times New Roman"/>
              </w:rPr>
              <w:t>11.</w:t>
            </w:r>
          </w:p>
        </w:tc>
        <w:tc>
          <w:tcPr>
            <w:tcW w:w="90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139</w:t>
            </w:r>
          </w:p>
        </w:tc>
        <w:tc>
          <w:tcPr>
            <w:tcW w:w="4500" w:type="dxa"/>
            <w:vAlign w:val="bottom"/>
          </w:tcPr>
          <w:p w:rsidR="00DB2CBA" w:rsidRPr="001E1EA1" w:rsidRDefault="00DB2CBA" w:rsidP="00472EF4">
            <w:pPr>
              <w:rPr>
                <w:rFonts w:ascii="Times New Roman" w:hAnsi="Times New Roman" w:cs="Times New Roman"/>
                <w:color w:val="000000"/>
              </w:rPr>
            </w:pPr>
            <w:r w:rsidRPr="00B0024F">
              <w:rPr>
                <w:rFonts w:ascii="Times New Roman" w:hAnsi="Times New Roman" w:cs="Times New Roman"/>
                <w:color w:val="000000"/>
              </w:rPr>
              <w:t>5,8-Dimethyl-1,4,6,7-tetrahydronaphthalene</w:t>
            </w:r>
          </w:p>
        </w:tc>
        <w:tc>
          <w:tcPr>
            <w:tcW w:w="1620"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37.59</w:t>
            </w:r>
          </w:p>
        </w:tc>
        <w:tc>
          <w:tcPr>
            <w:tcW w:w="1444" w:type="dxa"/>
            <w:vAlign w:val="center"/>
          </w:tcPr>
          <w:p w:rsidR="00DB2CBA" w:rsidRPr="00B0024F" w:rsidRDefault="00DB2CBA" w:rsidP="00472EF4">
            <w:pPr>
              <w:jc w:val="center"/>
              <w:rPr>
                <w:rFonts w:ascii="Times New Roman" w:hAnsi="Times New Roman" w:cs="Times New Roman"/>
                <w:color w:val="000000"/>
              </w:rPr>
            </w:pPr>
            <w:r w:rsidRPr="00B0024F">
              <w:rPr>
                <w:rFonts w:ascii="Times New Roman" w:hAnsi="Times New Roman" w:cs="Times New Roman"/>
                <w:color w:val="000000"/>
              </w:rPr>
              <w:t>2.35</w:t>
            </w:r>
          </w:p>
        </w:tc>
      </w:tr>
    </w:tbl>
    <w:p w:rsidR="005D18D9" w:rsidRDefault="005D18D9" w:rsidP="00DB2CBA">
      <w:pPr>
        <w:spacing w:line="240" w:lineRule="auto"/>
        <w:jc w:val="both"/>
        <w:rPr>
          <w:rFonts w:asciiTheme="majorBidi" w:hAnsiTheme="majorBidi" w:cstheme="majorBidi"/>
          <w:bCs/>
          <w:lang w:val="en-IN"/>
        </w:rPr>
      </w:pPr>
    </w:p>
    <w:p w:rsidR="00DB2CBA" w:rsidRPr="00DB2CBA" w:rsidRDefault="00DB2CBA" w:rsidP="00DB2CBA">
      <w:pPr>
        <w:spacing w:after="0" w:line="240" w:lineRule="auto"/>
        <w:jc w:val="both"/>
        <w:rPr>
          <w:rFonts w:asciiTheme="majorBidi" w:hAnsiTheme="majorBidi" w:cstheme="majorBidi"/>
          <w:bCs/>
          <w:lang w:val="en-IN"/>
        </w:rPr>
      </w:pPr>
      <w:r>
        <w:rPr>
          <w:rFonts w:asciiTheme="majorBidi" w:hAnsiTheme="majorBidi" w:cstheme="majorBidi"/>
          <w:bCs/>
          <w:lang w:val="en-IN"/>
        </w:rPr>
        <w:tab/>
      </w:r>
      <w:r w:rsidRPr="00DB2CBA">
        <w:rPr>
          <w:rFonts w:asciiTheme="majorBidi" w:hAnsiTheme="majorBidi" w:cstheme="majorBidi"/>
          <w:bCs/>
          <w:lang w:val="en-IN"/>
        </w:rPr>
        <w:t xml:space="preserve">From Tables 1 and 2, it can be seen that the most dominant compound, both in the ethanol extract and chloroform extract of nut grass </w:t>
      </w:r>
      <w:r>
        <w:rPr>
          <w:rFonts w:asciiTheme="majorBidi" w:hAnsiTheme="majorBidi" w:cstheme="majorBidi"/>
          <w:bCs/>
          <w:lang w:val="en-IN"/>
        </w:rPr>
        <w:t>rhizomes</w:t>
      </w:r>
      <w:r w:rsidRPr="00DB2CBA">
        <w:rPr>
          <w:rFonts w:asciiTheme="majorBidi" w:hAnsiTheme="majorBidi" w:cstheme="majorBidi"/>
          <w:bCs/>
          <w:lang w:val="en-IN"/>
        </w:rPr>
        <w:t xml:space="preserve">, is Cyperotundone. Cyperotundone is an organic compound that belongs to the sesquiterpenoides group and is contained in nut grass (Cyperus rotundus). Apart from Cyperotundone, the compounds contained in both types of extracts are Caryophyllene oxide and Longiverbenone. Both of these compounds have cytotoxic and antimicrobial activity </w:t>
      </w:r>
      <w:r>
        <w:rPr>
          <w:rFonts w:asciiTheme="majorBidi" w:hAnsiTheme="majorBidi" w:cstheme="majorBidi"/>
          <w:bCs/>
          <w:lang w:val="en-IN"/>
        </w:rPr>
        <w:fldChar w:fldCharType="begin" w:fldLock="1"/>
      </w:r>
      <w:r>
        <w:rPr>
          <w:rFonts w:asciiTheme="majorBidi" w:hAnsiTheme="majorBidi" w:cstheme="majorBidi"/>
          <w:bCs/>
          <w:lang w:val="en-IN"/>
        </w:rPr>
        <w:instrText>ADDIN CSL_CITATION {"citationItems":[{"id":"ITEM-1","itemData":{"DOI":"10.3329/bjm.v25i1.4866","author":[{"dropping-particle":"","family":"Rahman","given":"M Shafiqur","non-dropping-particle":"","parse-names":false,"suffix":""},{"dropping-particle":"","family":"Anwar","given":"M Nural","non-dropping-particle":"","parse-names":false,"suffix":""}],"container-title":"Bangladesh Journal of Microbiology","id":"ITEM-1","issue":"1","issued":{"date-parts":[["2008"]]},"page":"82-4","title":"Antibacterial and Cytotoxic Activity of Longiverbenone Isolated from the Rhizome of Cyperus scariosu","type":"article-journal","volume":"25"},"uris":["http://www.mendeley.com/documents/?uuid=28823c49-9caa-4513-bf38-dd47c868ca11"]},{"id":"ITEM-2","itemData":{"DOI":"10.1016/j.apjtm.2016.06.009","ISSN":"1995-7645","author":[{"dropping-particle":"","family":"Yagi","given":"Sakina","non-dropping-particle":"","parse-names":false,"suffix":""},{"dropping-particle":"","family":"Babiker","given":"Randa","non-dropping-particle":"","parse-names":false,"suffix":""},{"dropping-particle":"","family":"Tzanova","given":"Tzvetomira","non-dropping-particle":"","parse-names":false,"suffix":""},{"dropping-particle":"","family":"Schohn","given":"Herve","non-dropping-particle":"","parse-names":false,"suffix":""}],"container-title":"Asian Pacific Journal of Tropical Medicine","id":"ITEM-2","issue":"8","issued":{"date-parts":[["2016"]]},"page":"763-770","publisher":"Elsevier B.V.","title":"Chemical composition, antiproliferative, antioxidant and antibacterial activities of essential oils from aromatic plants growing in Sudan","type":"article-journal","volume":"9"},"uris":["http://www.mendeley.com/documents/?uuid=e112d60e-20a2-46de-9524-5d3fc68044c0"]}],"mendeley":{"formattedCitation":"(Rahman and Anwar, 2008; Yagi &lt;i&gt;et al.&lt;/i&gt;, 2016)","plainTextFormattedCitation":"(Rahman and Anwar, 2008; Yagi et al., 2016)","previouslyFormattedCitation":"(Rahman and Anwar, 2008; Yagi &lt;i&gt;et al.&lt;/i&gt;, 2016)"},"properties":{"noteIndex":0},"schema":"https://github.com/citation-style-language/schema/raw/master/csl-citation.json"}</w:instrText>
      </w:r>
      <w:r>
        <w:rPr>
          <w:rFonts w:asciiTheme="majorBidi" w:hAnsiTheme="majorBidi" w:cstheme="majorBidi"/>
          <w:bCs/>
          <w:lang w:val="en-IN"/>
        </w:rPr>
        <w:fldChar w:fldCharType="separate"/>
      </w:r>
      <w:r w:rsidRPr="00DB2CBA">
        <w:rPr>
          <w:rFonts w:asciiTheme="majorBidi" w:hAnsiTheme="majorBidi" w:cstheme="majorBidi"/>
          <w:bCs/>
          <w:noProof/>
          <w:lang w:val="en-IN"/>
        </w:rPr>
        <w:t xml:space="preserve">(Rahman and Anwar, 2008; Yagi </w:t>
      </w:r>
      <w:r w:rsidRPr="00DB2CBA">
        <w:rPr>
          <w:rFonts w:asciiTheme="majorBidi" w:hAnsiTheme="majorBidi" w:cstheme="majorBidi"/>
          <w:bCs/>
          <w:i/>
          <w:noProof/>
          <w:lang w:val="en-IN"/>
        </w:rPr>
        <w:t>et al.</w:t>
      </w:r>
      <w:r w:rsidRPr="00DB2CBA">
        <w:rPr>
          <w:rFonts w:asciiTheme="majorBidi" w:hAnsiTheme="majorBidi" w:cstheme="majorBidi"/>
          <w:bCs/>
          <w:noProof/>
          <w:lang w:val="en-IN"/>
        </w:rPr>
        <w:t>, 2016)</w:t>
      </w:r>
      <w:r>
        <w:rPr>
          <w:rFonts w:asciiTheme="majorBidi" w:hAnsiTheme="majorBidi" w:cstheme="majorBidi"/>
          <w:bCs/>
          <w:lang w:val="en-IN"/>
        </w:rPr>
        <w:fldChar w:fldCharType="end"/>
      </w:r>
      <w:r w:rsidRPr="00DB2CBA">
        <w:rPr>
          <w:rFonts w:asciiTheme="majorBidi" w:hAnsiTheme="majorBidi" w:cstheme="majorBidi"/>
          <w:bCs/>
          <w:lang w:val="en-IN"/>
        </w:rPr>
        <w:t>. There are no studies that discuss the antioxidant activity of these three compounds.</w:t>
      </w:r>
    </w:p>
    <w:p w:rsidR="00DB2CBA" w:rsidRPr="00DB2CBA" w:rsidRDefault="00DB2CBA" w:rsidP="00DB2CBA">
      <w:pPr>
        <w:spacing w:after="0" w:line="240" w:lineRule="auto"/>
        <w:ind w:firstLine="720"/>
        <w:jc w:val="both"/>
        <w:rPr>
          <w:rFonts w:asciiTheme="majorBidi" w:hAnsiTheme="majorBidi" w:cstheme="majorBidi"/>
          <w:bCs/>
          <w:lang w:val="en-IN"/>
        </w:rPr>
      </w:pPr>
      <w:r w:rsidRPr="00DB2CBA">
        <w:rPr>
          <w:rFonts w:asciiTheme="majorBidi" w:hAnsiTheme="majorBidi" w:cstheme="majorBidi"/>
          <w:bCs/>
          <w:lang w:val="en-IN"/>
        </w:rPr>
        <w:t xml:space="preserve">The other three main compounds in the ethanol extract of nut grass </w:t>
      </w:r>
      <w:r>
        <w:rPr>
          <w:rFonts w:asciiTheme="majorBidi" w:hAnsiTheme="majorBidi" w:cstheme="majorBidi"/>
          <w:bCs/>
          <w:lang w:val="en-IN"/>
        </w:rPr>
        <w:t>rhizomes</w:t>
      </w:r>
      <w:r w:rsidRPr="00DB2CBA">
        <w:rPr>
          <w:rFonts w:asciiTheme="majorBidi" w:hAnsiTheme="majorBidi" w:cstheme="majorBidi"/>
          <w:bCs/>
          <w:lang w:val="en-IN"/>
        </w:rPr>
        <w:t xml:space="preserve">, namely d-Selinen; 2,5-Octadecadiynoic acid, methyl ester; and Methyl trisporate B, there is also no discussion about its antioxidant activity. A study shows that Solanum spirale essential oil has antioxidant and cytotoxic activities, where the main compounds contained in these essential oils are other types of Selinene, namely α-Selinene and β-Selinene (Keawsa-ard et al., 2012). While there has been no research on the biological activity of 2,5-Octadecadiynoic acid, methyl ester, Methyl trisporate B, is known to have biological activity as a pheromone in the Zygomycetes </w:t>
      </w:r>
      <w:r>
        <w:rPr>
          <w:rFonts w:asciiTheme="majorBidi" w:hAnsiTheme="majorBidi" w:cstheme="majorBidi"/>
          <w:bCs/>
          <w:lang w:val="en-IN"/>
        </w:rPr>
        <w:t xml:space="preserve">fungi </w:t>
      </w:r>
      <w:r>
        <w:rPr>
          <w:rFonts w:asciiTheme="majorBidi" w:hAnsiTheme="majorBidi" w:cstheme="majorBidi"/>
          <w:bCs/>
          <w:lang w:val="en-IN"/>
        </w:rPr>
        <w:fldChar w:fldCharType="begin" w:fldLock="1"/>
      </w:r>
      <w:r w:rsidR="001421B7">
        <w:rPr>
          <w:rFonts w:asciiTheme="majorBidi" w:hAnsiTheme="majorBidi" w:cstheme="majorBidi"/>
          <w:bCs/>
          <w:lang w:val="en-IN"/>
        </w:rPr>
        <w:instrText>ADDIN CSL_CITATION {"citationItems":[{"id":"ITEM-1","itemData":{"author":[{"dropping-particle":"","family":"Nakamura","given":"Yoko","non-dropping-particle":"","parse-names":false,"suffix":""},{"dropping-particle":"","family":"Paetz","given":"Christian","non-dropping-particle":"","parse-names":false,"suffix":""},{"dropping-particle":"","family":"Boland","given":"Wilhelm","non-dropping-particle":"","parse-names":false,"suffix":""}],"container-title":"Zeitschrift für Naturforschung C","id":"ITEM-1","issued":{"date-parts":[["2017"]]},"title":"Synthesis of methyl 4-dihydrotrisporate B and methyl trisporate B, morphogenetic factors of Zygomycetes fungi","type":"article-journal","volume":"73"},"uris":["http://www.mendeley.com/documents/?uuid=0f26b840-a38f-4b59-b5bb-54af00cf54b0"]}],"mendeley":{"formattedCitation":"(Nakamura, Paetz and Boland, 2017)","manualFormatting":"(Nakamura et al., 2017)","plainTextFormattedCitation":"(Nakamura, Paetz and Boland, 2017)","previouslyFormattedCitation":"(Nakamura, Paetz and Boland, 2017)"},"properties":{"noteIndex":0},"schema":"https://github.com/citation-style-language/schema/raw/master/csl-citation.json"}</w:instrText>
      </w:r>
      <w:r>
        <w:rPr>
          <w:rFonts w:asciiTheme="majorBidi" w:hAnsiTheme="majorBidi" w:cstheme="majorBidi"/>
          <w:bCs/>
          <w:lang w:val="en-IN"/>
        </w:rPr>
        <w:fldChar w:fldCharType="separate"/>
      </w:r>
      <w:r w:rsidRPr="00DB2CBA">
        <w:rPr>
          <w:rFonts w:asciiTheme="majorBidi" w:hAnsiTheme="majorBidi" w:cstheme="majorBidi"/>
          <w:bCs/>
          <w:noProof/>
          <w:lang w:val="en-IN"/>
        </w:rPr>
        <w:t>(Nakamura</w:t>
      </w:r>
      <w:r>
        <w:rPr>
          <w:rFonts w:asciiTheme="majorBidi" w:hAnsiTheme="majorBidi" w:cstheme="majorBidi"/>
          <w:bCs/>
          <w:noProof/>
          <w:lang w:val="en-IN"/>
        </w:rPr>
        <w:t xml:space="preserve"> </w:t>
      </w:r>
      <w:r w:rsidRPr="00DB2CBA">
        <w:rPr>
          <w:rFonts w:asciiTheme="majorBidi" w:hAnsiTheme="majorBidi" w:cstheme="majorBidi"/>
          <w:bCs/>
          <w:i/>
          <w:noProof/>
          <w:lang w:val="en-IN"/>
        </w:rPr>
        <w:t>et al</w:t>
      </w:r>
      <w:r>
        <w:rPr>
          <w:rFonts w:asciiTheme="majorBidi" w:hAnsiTheme="majorBidi" w:cstheme="majorBidi"/>
          <w:bCs/>
          <w:noProof/>
          <w:lang w:val="en-IN"/>
        </w:rPr>
        <w:t>.</w:t>
      </w:r>
      <w:r w:rsidRPr="00DB2CBA">
        <w:rPr>
          <w:rFonts w:asciiTheme="majorBidi" w:hAnsiTheme="majorBidi" w:cstheme="majorBidi"/>
          <w:bCs/>
          <w:noProof/>
          <w:lang w:val="en-IN"/>
        </w:rPr>
        <w:t>, 2017)</w:t>
      </w:r>
      <w:r>
        <w:rPr>
          <w:rFonts w:asciiTheme="majorBidi" w:hAnsiTheme="majorBidi" w:cstheme="majorBidi"/>
          <w:bCs/>
          <w:lang w:val="en-IN"/>
        </w:rPr>
        <w:fldChar w:fldCharType="end"/>
      </w:r>
      <w:r w:rsidRPr="00DB2CBA">
        <w:rPr>
          <w:rFonts w:asciiTheme="majorBidi" w:hAnsiTheme="majorBidi" w:cstheme="majorBidi"/>
          <w:bCs/>
          <w:lang w:val="en-IN"/>
        </w:rPr>
        <w:t>.</w:t>
      </w:r>
    </w:p>
    <w:p w:rsidR="00DB2CBA" w:rsidRPr="00DB2CBA" w:rsidRDefault="00DB2CBA" w:rsidP="001421B7">
      <w:pPr>
        <w:spacing w:after="0" w:line="240" w:lineRule="auto"/>
        <w:ind w:firstLine="720"/>
        <w:jc w:val="both"/>
        <w:rPr>
          <w:rFonts w:asciiTheme="majorBidi" w:hAnsiTheme="majorBidi" w:cstheme="majorBidi"/>
          <w:bCs/>
          <w:lang w:val="en-IN"/>
        </w:rPr>
      </w:pPr>
      <w:r w:rsidRPr="00DB2CBA">
        <w:rPr>
          <w:rFonts w:asciiTheme="majorBidi" w:hAnsiTheme="majorBidi" w:cstheme="majorBidi"/>
          <w:bCs/>
          <w:lang w:val="en-IN"/>
        </w:rPr>
        <w:t xml:space="preserve">A tricyclic sesquiterpene compound detected in chloroform extract, α-Copaene, has cytotoxic and antioxidant activity. Research on the cytotoxic effect of α-Copaene on N2a neuroblastoma cells shows that α-Copaene has antioxidant activity, as evidenced by an increase in total antioxidant capacity </w:t>
      </w:r>
      <w:r w:rsidR="001421B7">
        <w:rPr>
          <w:rFonts w:asciiTheme="majorBidi" w:hAnsiTheme="majorBidi" w:cstheme="majorBidi"/>
          <w:bCs/>
          <w:lang w:val="en-IN"/>
        </w:rPr>
        <w:t xml:space="preserve">(TAC) </w:t>
      </w:r>
      <w:r w:rsidRPr="00DB2CBA">
        <w:rPr>
          <w:rFonts w:asciiTheme="majorBidi" w:hAnsiTheme="majorBidi" w:cstheme="majorBidi"/>
          <w:bCs/>
          <w:lang w:val="en-IN"/>
        </w:rPr>
        <w:t xml:space="preserve">and at higher doses increases total oxidative status </w:t>
      </w:r>
      <w:r w:rsidR="001421B7">
        <w:rPr>
          <w:rFonts w:asciiTheme="majorBidi" w:hAnsiTheme="majorBidi" w:cstheme="majorBidi"/>
          <w:bCs/>
          <w:lang w:val="en-IN"/>
        </w:rPr>
        <w:t xml:space="preserve">(TOS) </w:t>
      </w:r>
      <w:r w:rsidRPr="00DB2CBA">
        <w:rPr>
          <w:rFonts w:asciiTheme="majorBidi" w:hAnsiTheme="majorBidi" w:cstheme="majorBidi"/>
          <w:bCs/>
          <w:lang w:val="en-IN"/>
        </w:rPr>
        <w:t xml:space="preserve">in N2a-NB neuron cell cultures </w:t>
      </w:r>
      <w:r w:rsidR="001421B7">
        <w:rPr>
          <w:rFonts w:asciiTheme="majorBidi" w:hAnsiTheme="majorBidi" w:cstheme="majorBidi"/>
          <w:bCs/>
          <w:lang w:val="en-IN"/>
        </w:rPr>
        <w:fldChar w:fldCharType="begin" w:fldLock="1"/>
      </w:r>
      <w:r w:rsidR="001421B7">
        <w:rPr>
          <w:rFonts w:asciiTheme="majorBidi" w:hAnsiTheme="majorBidi" w:cstheme="majorBidi"/>
          <w:bCs/>
          <w:lang w:val="en-IN"/>
        </w:rPr>
        <w:instrText>ADDIN CSL_CITATION {"citationItems":[{"id":"ITEM-1","itemData":{"author":[{"dropping-particle":"","family":"Turkez","given":"Hasan","non-dropping-particle":"","parse-names":false,"suffix":""},{"dropping-particle":"","family":"Togar","given":"Basak","non-dropping-particle":"","parse-names":false,"suffix":""},{"dropping-particle":"","family":"Tatar","given":"Abdulgani","non-dropping-particle":"","parse-names":false,"suffix":""},{"dropping-particle":"","family":"Geyıkoglu","given":"Fatime","non-dropping-particle":"","parse-names":false,"suffix":""},{"dropping-particle":"","family":"Hacımuftuoglu","given":"Ahmet","non-dropping-particle":"","parse-names":false,"suffix":""}],"container-title":"Biologia","id":"ITEM-1","issued":{"date-parts":[["2014"]]},"page":"936-42","title":"Cytotoxic and cytogenetic effects of α-copaene on rat neuron and N2a neuroblastoma cell lines","type":"article-journal","volume":"69"},"uris":["http://www.mendeley.com/documents/?uuid=054d2d4c-c63d-48dd-bcc7-3979c962bd9d"]}],"mendeley":{"formattedCitation":"(Turkez &lt;i&gt;et al.&lt;/i&gt;, 2014)","plainTextFormattedCitation":"(Turkez et al., 2014)","previouslyFormattedCitation":"(Turkez &lt;i&gt;et al.&lt;/i&gt;, 2014)"},"properties":{"noteIndex":0},"schema":"https://github.com/citation-style-language/schema/raw/master/csl-citation.json"}</w:instrText>
      </w:r>
      <w:r w:rsidR="001421B7">
        <w:rPr>
          <w:rFonts w:asciiTheme="majorBidi" w:hAnsiTheme="majorBidi" w:cstheme="majorBidi"/>
          <w:bCs/>
          <w:lang w:val="en-IN"/>
        </w:rPr>
        <w:fldChar w:fldCharType="separate"/>
      </w:r>
      <w:r w:rsidR="001421B7" w:rsidRPr="001421B7">
        <w:rPr>
          <w:rFonts w:asciiTheme="majorBidi" w:hAnsiTheme="majorBidi" w:cstheme="majorBidi"/>
          <w:bCs/>
          <w:noProof/>
          <w:lang w:val="en-IN"/>
        </w:rPr>
        <w:t xml:space="preserve">(Turkez </w:t>
      </w:r>
      <w:r w:rsidR="001421B7" w:rsidRPr="001421B7">
        <w:rPr>
          <w:rFonts w:asciiTheme="majorBidi" w:hAnsiTheme="majorBidi" w:cstheme="majorBidi"/>
          <w:bCs/>
          <w:i/>
          <w:noProof/>
          <w:lang w:val="en-IN"/>
        </w:rPr>
        <w:t>et al.</w:t>
      </w:r>
      <w:r w:rsidR="001421B7" w:rsidRPr="001421B7">
        <w:rPr>
          <w:rFonts w:asciiTheme="majorBidi" w:hAnsiTheme="majorBidi" w:cstheme="majorBidi"/>
          <w:bCs/>
          <w:noProof/>
          <w:lang w:val="en-IN"/>
        </w:rPr>
        <w:t>, 2014)</w:t>
      </w:r>
      <w:r w:rsidR="001421B7">
        <w:rPr>
          <w:rFonts w:asciiTheme="majorBidi" w:hAnsiTheme="majorBidi" w:cstheme="majorBidi"/>
          <w:bCs/>
          <w:lang w:val="en-IN"/>
        </w:rPr>
        <w:fldChar w:fldCharType="end"/>
      </w:r>
      <w:r w:rsidRPr="00DB2CBA">
        <w:rPr>
          <w:rFonts w:asciiTheme="majorBidi" w:hAnsiTheme="majorBidi" w:cstheme="majorBidi"/>
          <w:bCs/>
          <w:lang w:val="en-IN"/>
        </w:rPr>
        <w:t xml:space="preserve"> . Other studies on the effects of copaene on human lymphocyte cells in vitro have shown that copaene increases the antioxidant capacity of human lymphocyte cultures</w:t>
      </w:r>
      <w:r w:rsidR="001421B7">
        <w:rPr>
          <w:rFonts w:asciiTheme="majorBidi" w:hAnsiTheme="majorBidi" w:cstheme="majorBidi"/>
          <w:bCs/>
          <w:lang w:val="en-IN"/>
        </w:rPr>
        <w:fldChar w:fldCharType="begin" w:fldLock="1"/>
      </w:r>
      <w:r w:rsidR="001421B7">
        <w:rPr>
          <w:rFonts w:asciiTheme="majorBidi" w:hAnsiTheme="majorBidi" w:cstheme="majorBidi"/>
          <w:bCs/>
          <w:lang w:val="en-IN"/>
        </w:rPr>
        <w:instrText>ADDIN CSL_CITATION {"citationItems":[{"id":"ITEM-1","itemData":{"DOI":"10.1007/s10616-013-9611-1","author":[{"dropping-particle":"","family":"Turkez","given":"Hasan","non-dropping-particle":"","parse-names":false,"suffix":""},{"dropping-particle":"","family":"Celik","given":"Kubra","non-dropping-particle":"","parse-names":false,"suffix":""},{"dropping-particle":"","family":"Togar","given":"Basak","non-dropping-particle":"","parse-names":false,"suffix":""}],"container-title":"Cytotechnology","id":"ITEM-1","issued":{"date-parts":[["2014"]]},"page":"597-603","title":"Effects of copaene , a tricyclic sesquiterpene , on human lymphocytes cells in vitro","type":"article-journal","volume":"66"},"uris":["http://www.mendeley.com/documents/?uuid=1a3695d6-b5ba-4de6-bcab-1f07637e5719"]}],"mendeley":{"formattedCitation":"(Turkez, Celik and Togar, 2014)","plainTextFormattedCitation":"(Turkez, Celik and Togar, 2014)","previouslyFormattedCitation":"(Turkez, Celik and Togar, 2014)"},"properties":{"noteIndex":0},"schema":"https://github.com/citation-style-language/schema/raw/master/csl-citation.json"}</w:instrText>
      </w:r>
      <w:r w:rsidR="001421B7">
        <w:rPr>
          <w:rFonts w:asciiTheme="majorBidi" w:hAnsiTheme="majorBidi" w:cstheme="majorBidi"/>
          <w:bCs/>
          <w:lang w:val="en-IN"/>
        </w:rPr>
        <w:fldChar w:fldCharType="separate"/>
      </w:r>
      <w:r w:rsidR="001421B7" w:rsidRPr="001421B7">
        <w:rPr>
          <w:rFonts w:asciiTheme="majorBidi" w:hAnsiTheme="majorBidi" w:cstheme="majorBidi"/>
          <w:bCs/>
          <w:noProof/>
          <w:lang w:val="en-IN"/>
        </w:rPr>
        <w:t>(Turkez, Celik and Togar, 2014)</w:t>
      </w:r>
      <w:r w:rsidR="001421B7">
        <w:rPr>
          <w:rFonts w:asciiTheme="majorBidi" w:hAnsiTheme="majorBidi" w:cstheme="majorBidi"/>
          <w:bCs/>
          <w:lang w:val="en-IN"/>
        </w:rPr>
        <w:fldChar w:fldCharType="end"/>
      </w:r>
      <w:r w:rsidRPr="00DB2CBA">
        <w:rPr>
          <w:rFonts w:asciiTheme="majorBidi" w:hAnsiTheme="majorBidi" w:cstheme="majorBidi"/>
          <w:bCs/>
          <w:lang w:val="en-IN"/>
        </w:rPr>
        <w:t>.</w:t>
      </w:r>
    </w:p>
    <w:p w:rsidR="00DB2CBA" w:rsidRPr="00DB2CBA" w:rsidRDefault="00DB2CBA" w:rsidP="001421B7">
      <w:pPr>
        <w:spacing w:after="0" w:line="240" w:lineRule="auto"/>
        <w:ind w:firstLine="720"/>
        <w:jc w:val="both"/>
        <w:rPr>
          <w:rFonts w:asciiTheme="majorBidi" w:hAnsiTheme="majorBidi" w:cstheme="majorBidi"/>
          <w:bCs/>
          <w:lang w:val="en-IN"/>
        </w:rPr>
      </w:pPr>
      <w:r w:rsidRPr="00DB2CBA">
        <w:rPr>
          <w:rFonts w:asciiTheme="majorBidi" w:hAnsiTheme="majorBidi" w:cstheme="majorBidi"/>
          <w:bCs/>
          <w:lang w:val="en-IN"/>
        </w:rPr>
        <w:t xml:space="preserve">There have been no studies looking into the effects of isolated β-Maaliene compounds, but there are studies on chemical analysis and biological activity of plant essential oils of Valerianaceous species that show moderate antioxidant activity. Where the main compounds of these essential oils include α-Selinene and β-Maaliene </w:t>
      </w:r>
      <w:r w:rsidR="001421B7">
        <w:rPr>
          <w:rFonts w:asciiTheme="majorBidi" w:hAnsiTheme="majorBidi" w:cstheme="majorBidi"/>
          <w:bCs/>
          <w:lang w:val="en-IN"/>
        </w:rPr>
        <w:fldChar w:fldCharType="begin" w:fldLock="1"/>
      </w:r>
      <w:r w:rsidR="001421B7">
        <w:rPr>
          <w:rFonts w:asciiTheme="majorBidi" w:hAnsiTheme="majorBidi" w:cstheme="majorBidi"/>
          <w:bCs/>
          <w:lang w:val="en-IN"/>
        </w:rPr>
        <w:instrText>ADDIN CSL_CITATION {"citationItems":[{"id":"ITEM-1","itemData":{"DOI":"10.3390/molecules15096411","author":[{"dropping-particle":"","family":"Wang","given":"Jihua","non-dropping-particle":"","parse-names":false,"suffix":""},{"dropping-particle":"","family":"Zhao","given":"Jianglin","non-dropping-particle":"","parse-names":false,"suffix":""},{"dropping-particle":"","family":"Liu","given":"Hao","non-dropping-particle":"","parse-names":false,"suffix":""},{"dropping-particle":"","family":"Zhou","given":"Ligang","non-dropping-particle":"","parse-names":false,"suffix":""},{"dropping-particle":"","family":"Liu","given":"Zhilong","non-dropping-particle":"","parse-names":false,"suffix":""},{"dropping-particle":"","family":"Wang","given":"Jingguo","non-dropping-particle":"","parse-names":false,"suffix":""},{"dropping-particle":"","family":"Han","given":"Jianguo","non-dropping-particle":"","parse-names":false,"suffix":""},{"dropping-particle":"","family":"Yu","given":"Zhu","non-dropping-particle":"","parse-names":false,"suffix":""},{"dropping-particle":"","family":"Yang","given":"Fuyu","non-dropping-particle":"","parse-names":false,"suffix":""}],"container-title":"Molecules","id":"ITEM-1","issued":{"date-parts":[["2010"]]},"page":"6411-6422","title":"Chemical Analysis and Biological Activity of the Essential Oils of Two Valerianaceous Species from China: Nardostachys chinensis and Valeriana officinalis","type":"article-journal","volume":"15"},"uris":["http://www.mendeley.com/documents/?uuid=08d54b14-bd58-49ea-9bfd-fdb84ed6daf1"]}],"mendeley":{"formattedCitation":"(Wang &lt;i&gt;et al.&lt;/i&gt;, 2010)","plainTextFormattedCitation":"(Wang et al., 2010)","previouslyFormattedCitation":"(Wang &lt;i&gt;et al.&lt;/i&gt;, 2010)"},"properties":{"noteIndex":0},"schema":"https://github.com/citation-style-language/schema/raw/master/csl-citation.json"}</w:instrText>
      </w:r>
      <w:r w:rsidR="001421B7">
        <w:rPr>
          <w:rFonts w:asciiTheme="majorBidi" w:hAnsiTheme="majorBidi" w:cstheme="majorBidi"/>
          <w:bCs/>
          <w:lang w:val="en-IN"/>
        </w:rPr>
        <w:fldChar w:fldCharType="separate"/>
      </w:r>
      <w:r w:rsidR="001421B7" w:rsidRPr="001421B7">
        <w:rPr>
          <w:rFonts w:asciiTheme="majorBidi" w:hAnsiTheme="majorBidi" w:cstheme="majorBidi"/>
          <w:bCs/>
          <w:noProof/>
          <w:lang w:val="en-IN"/>
        </w:rPr>
        <w:t xml:space="preserve">(Wang </w:t>
      </w:r>
      <w:r w:rsidR="001421B7" w:rsidRPr="001421B7">
        <w:rPr>
          <w:rFonts w:asciiTheme="majorBidi" w:hAnsiTheme="majorBidi" w:cstheme="majorBidi"/>
          <w:bCs/>
          <w:i/>
          <w:noProof/>
          <w:lang w:val="en-IN"/>
        </w:rPr>
        <w:t>et al.</w:t>
      </w:r>
      <w:r w:rsidR="001421B7" w:rsidRPr="001421B7">
        <w:rPr>
          <w:rFonts w:asciiTheme="majorBidi" w:hAnsiTheme="majorBidi" w:cstheme="majorBidi"/>
          <w:bCs/>
          <w:noProof/>
          <w:lang w:val="en-IN"/>
        </w:rPr>
        <w:t>, 2010)</w:t>
      </w:r>
      <w:r w:rsidR="001421B7">
        <w:rPr>
          <w:rFonts w:asciiTheme="majorBidi" w:hAnsiTheme="majorBidi" w:cstheme="majorBidi"/>
          <w:bCs/>
          <w:lang w:val="en-IN"/>
        </w:rPr>
        <w:fldChar w:fldCharType="end"/>
      </w:r>
      <w:r w:rsidRPr="00DB2CBA">
        <w:rPr>
          <w:rFonts w:asciiTheme="majorBidi" w:hAnsiTheme="majorBidi" w:cstheme="majorBidi"/>
          <w:bCs/>
          <w:lang w:val="en-IN"/>
        </w:rPr>
        <w:t>. Meanwhile, the cis-Z-a-Bisabolene epoxide compound has biological activity as a pheromone or hormone to increase sexual activity</w:t>
      </w:r>
      <w:r w:rsidR="001421B7">
        <w:rPr>
          <w:rFonts w:asciiTheme="majorBidi" w:hAnsiTheme="majorBidi" w:cstheme="majorBidi"/>
          <w:bCs/>
          <w:lang w:val="en-IN"/>
        </w:rPr>
        <w:fldChar w:fldCharType="begin" w:fldLock="1"/>
      </w:r>
      <w:r w:rsidR="001421B7">
        <w:rPr>
          <w:rFonts w:asciiTheme="majorBidi" w:hAnsiTheme="majorBidi" w:cstheme="majorBidi"/>
          <w:bCs/>
          <w:lang w:val="en-IN"/>
        </w:rPr>
        <w:instrText>ADDIN CSL_CITATION {"citationItems":[{"id":"ITEM-1","itemData":{"DOI":"10.1007/s13197-017-2744-z","ISSN":"0975-8402","author":[{"dropping-particle":"","family":"Ganesh","given":"Mani","non-dropping-particle":"","parse-names":false,"suffix":""},{"dropping-particle":"","family":"Mohankumar","given":"Murugan","non-dropping-particle":"","parse-names":false,"suffix":""}],"container-title":"Journal of Food Science and Technology","id":"ITEM-1","issue":"10","issued":{"date-parts":[["2017"]]},"page":"3082-3091","publisher":"Springer India","title":"Extraction and identification of bioactive components in Sida cordata ( Burm . f .) using gas chromatography – mass spectrometry","type":"article-journal","volume":"54"},"uris":["http://www.mendeley.com/documents/?uuid=8c9db75e-ef29-4637-ac67-1469d5efd4ff"]}],"mendeley":{"formattedCitation":"(Ganesh and Mohankumar, 2017)","plainTextFormattedCitation":"(Ganesh and Mohankumar, 2017)","previouslyFormattedCitation":"(Ganesh and Mohankumar, 2017)"},"properties":{"noteIndex":0},"schema":"https://github.com/citation-style-language/schema/raw/master/csl-citation.json"}</w:instrText>
      </w:r>
      <w:r w:rsidR="001421B7">
        <w:rPr>
          <w:rFonts w:asciiTheme="majorBidi" w:hAnsiTheme="majorBidi" w:cstheme="majorBidi"/>
          <w:bCs/>
          <w:lang w:val="en-IN"/>
        </w:rPr>
        <w:fldChar w:fldCharType="separate"/>
      </w:r>
      <w:r w:rsidR="001421B7" w:rsidRPr="001421B7">
        <w:rPr>
          <w:rFonts w:asciiTheme="majorBidi" w:hAnsiTheme="majorBidi" w:cstheme="majorBidi"/>
          <w:bCs/>
          <w:noProof/>
          <w:lang w:val="en-IN"/>
        </w:rPr>
        <w:t>(Ganesh and Mohankumar, 2017)</w:t>
      </w:r>
      <w:r w:rsidR="001421B7">
        <w:rPr>
          <w:rFonts w:asciiTheme="majorBidi" w:hAnsiTheme="majorBidi" w:cstheme="majorBidi"/>
          <w:bCs/>
          <w:lang w:val="en-IN"/>
        </w:rPr>
        <w:fldChar w:fldCharType="end"/>
      </w:r>
      <w:r w:rsidRPr="00DB2CBA">
        <w:rPr>
          <w:rFonts w:asciiTheme="majorBidi" w:hAnsiTheme="majorBidi" w:cstheme="majorBidi"/>
          <w:bCs/>
          <w:lang w:val="en-IN"/>
        </w:rPr>
        <w:t>.</w:t>
      </w:r>
    </w:p>
    <w:p w:rsidR="006A5CFE" w:rsidRDefault="00DB2CBA" w:rsidP="001421B7">
      <w:pPr>
        <w:spacing w:after="0" w:line="240" w:lineRule="auto"/>
        <w:ind w:firstLine="720"/>
        <w:jc w:val="both"/>
        <w:rPr>
          <w:rFonts w:asciiTheme="majorBidi" w:hAnsiTheme="majorBidi" w:cstheme="majorBidi"/>
          <w:bCs/>
          <w:lang w:val="en-IN"/>
        </w:rPr>
      </w:pPr>
      <w:r w:rsidRPr="00DB2CBA">
        <w:rPr>
          <w:rFonts w:asciiTheme="majorBidi" w:hAnsiTheme="majorBidi" w:cstheme="majorBidi"/>
          <w:bCs/>
          <w:lang w:val="en-IN"/>
        </w:rPr>
        <w:t xml:space="preserve">Literature studies on phytochemical compounds and biological activity of Patchouli essential oil, of which the main compound is α-Bulnesene, shows that Patchouli essential oil has potential antioxidant activity. However, data on α-Bulnesene itself has not been found </w:t>
      </w:r>
      <w:r w:rsidR="001421B7">
        <w:rPr>
          <w:rFonts w:asciiTheme="majorBidi" w:hAnsiTheme="majorBidi" w:cstheme="majorBidi"/>
          <w:bCs/>
          <w:lang w:val="en-IN"/>
        </w:rPr>
        <w:fldChar w:fldCharType="begin" w:fldLock="1"/>
      </w:r>
      <w:r w:rsidR="002C7E29">
        <w:rPr>
          <w:rFonts w:asciiTheme="majorBidi" w:hAnsiTheme="majorBidi" w:cstheme="majorBidi"/>
          <w:bCs/>
          <w:lang w:val="en-IN"/>
        </w:rPr>
        <w:instrText>ADDIN CSL_CITATION {"citationItems":[{"id":"ITEM-1","itemData":{"DOI":"10.3390/molecules20058521","abstract":"Pogostemon cablin Benth. (patchouli) is an important herb which possesses many therapeutic properties and is widely used in the fragrance industries. In traditional medicinal practices, it is used to treat colds, headaches, fever, nausea, vomiting, diarrhea, abdominal pain, insect and snake bites. In aromatherapy, patchouli oil is used to relieve depression, stress, calm nerves, control appetite and to improve sexual interest. Till now more than 140 compounds, including terpenoids, phytosterols, flavonoids, organic acids, lignins, alkaloids, glycosides, alcohols, aldehydes have been isolated and identified from patchouli. The main phytochemical compounds are patchouli alcohol, α-patchoulene, β-patchoulene, α-bulnesene, seychellene, norpatchoulenol, pogostone, eugenol and pogostol. Modern studies have revealed several biological activities such as antioxidant, analgesic, anti-inflammatory, antiplatelet, antithrombotic, aphrodisiac, antidepressant, antimutagenic, antiemetic, fibrinolytic and cytotoxic activities. However, some of the traditional uses need to be verified and may require standardizing and authenticating the bioactivity of purified compounds through scientific methods. The aim of the present review is to provide comprehensive knowledge on the phytochemistry and pharmacological activities of essential oil and different plant extracts of patchouli based on the available scientific literature. This information will provide a potential guide in exploring the use of main active compounds of patchouli in various medical fields.","author":[{"dropping-particle":"","family":"Swamy","given":"Mallappa Kumara","non-dropping-particle":"","parse-names":false,"suffix":""},{"dropping-particle":"","family":"Sinniah","given":"Uma Rani","non-dropping-particle":"","parse-names":false,"suffix":""}],"container-title":"Molecules","id":"ITEM-1","issued":{"date-parts":[["2015"]]},"page":"8521-8547","title":"A Comprehensive Review on the Phytochemical Constituents and Pharmacological Activities of Pogostemon cablin Benth.: An Aromatic Medicinal Plant of Industrial Importance","type":"article-journal","volume":"20"},"uris":["http://www.mendeley.com/documents/?uuid=c61df345-cdf4-4be1-9cd4-dabaa0ef5c13"]}],"mendeley":{"formattedCitation":"(Swamy and Sinniah, 2015)","plainTextFormattedCitation":"(Swamy and Sinniah, 2015)","previouslyFormattedCitation":"(Swamy and Sinniah, 2015)"},"properties":{"noteIndex":0},"schema":"https://github.com/citation-style-language/schema/raw/master/csl-citation.json"}</w:instrText>
      </w:r>
      <w:r w:rsidR="001421B7">
        <w:rPr>
          <w:rFonts w:asciiTheme="majorBidi" w:hAnsiTheme="majorBidi" w:cstheme="majorBidi"/>
          <w:bCs/>
          <w:lang w:val="en-IN"/>
        </w:rPr>
        <w:fldChar w:fldCharType="separate"/>
      </w:r>
      <w:r w:rsidR="001421B7" w:rsidRPr="001421B7">
        <w:rPr>
          <w:rFonts w:asciiTheme="majorBidi" w:hAnsiTheme="majorBidi" w:cstheme="majorBidi"/>
          <w:bCs/>
          <w:noProof/>
          <w:lang w:val="en-IN"/>
        </w:rPr>
        <w:t>(Swamy and Sinniah, 2015)</w:t>
      </w:r>
      <w:r w:rsidR="001421B7">
        <w:rPr>
          <w:rFonts w:asciiTheme="majorBidi" w:hAnsiTheme="majorBidi" w:cstheme="majorBidi"/>
          <w:bCs/>
          <w:lang w:val="en-IN"/>
        </w:rPr>
        <w:fldChar w:fldCharType="end"/>
      </w:r>
      <w:r w:rsidR="001421B7">
        <w:rPr>
          <w:rFonts w:asciiTheme="majorBidi" w:hAnsiTheme="majorBidi" w:cstheme="majorBidi"/>
          <w:bCs/>
          <w:lang w:val="en-IN"/>
        </w:rPr>
        <w:t xml:space="preserve">. </w:t>
      </w:r>
      <w:r w:rsidRPr="00DB2CBA">
        <w:rPr>
          <w:rFonts w:asciiTheme="majorBidi" w:hAnsiTheme="majorBidi" w:cstheme="majorBidi"/>
          <w:bCs/>
          <w:lang w:val="en-IN"/>
        </w:rPr>
        <w:t>There has been no research on the biological activity of other compounds, namely Rotundene; (1aR, 3aR, 4R, 7R, 8aS) -1a, 4,9,9-Tetramethyloctahydro-3a, 7-met; 4,6,6-Trimethyl-2- (3-methylbuta-1,3-dienyl) -3-oxatricyclo [5.1.0.0 (2,4)] octane; and 5,8-Dimethyl-1,4,6,7-tetrahydronaphthalene.</w:t>
      </w:r>
    </w:p>
    <w:p w:rsidR="00DB2CBA" w:rsidRDefault="00DB2CBA" w:rsidP="000C48AA">
      <w:pPr>
        <w:spacing w:after="0" w:line="240" w:lineRule="auto"/>
        <w:jc w:val="both"/>
        <w:rPr>
          <w:rFonts w:asciiTheme="majorBidi" w:hAnsiTheme="majorBidi" w:cstheme="majorBidi"/>
          <w:bCs/>
          <w:lang w:val="en-IN"/>
        </w:rPr>
      </w:pPr>
    </w:p>
    <w:p w:rsidR="001421B7" w:rsidRDefault="001421B7" w:rsidP="000C48AA">
      <w:pPr>
        <w:spacing w:after="0" w:line="240" w:lineRule="auto"/>
        <w:jc w:val="both"/>
        <w:rPr>
          <w:rFonts w:asciiTheme="majorBidi" w:hAnsiTheme="majorBidi" w:cstheme="majorBidi"/>
          <w:bCs/>
          <w:lang w:val="en-IN"/>
        </w:rPr>
      </w:pPr>
    </w:p>
    <w:p w:rsidR="00F07CF5" w:rsidRPr="003A5C17" w:rsidRDefault="000B6000" w:rsidP="00981FF1">
      <w:pPr>
        <w:pStyle w:val="Default"/>
        <w:spacing w:after="200"/>
        <w:contextualSpacing/>
        <w:jc w:val="both"/>
        <w:rPr>
          <w:rFonts w:asciiTheme="majorBidi" w:hAnsiTheme="majorBidi" w:cstheme="majorBidi"/>
          <w:b/>
          <w:bCs/>
          <w:sz w:val="22"/>
          <w:szCs w:val="22"/>
        </w:rPr>
      </w:pPr>
      <w:r w:rsidRPr="003A5C17">
        <w:rPr>
          <w:rFonts w:asciiTheme="majorBidi" w:hAnsiTheme="majorBidi" w:cstheme="majorBidi"/>
          <w:b/>
          <w:bCs/>
          <w:sz w:val="22"/>
          <w:szCs w:val="22"/>
        </w:rPr>
        <w:t>5. CONCLUSION</w:t>
      </w:r>
    </w:p>
    <w:p w:rsidR="004C3847" w:rsidRDefault="004C3847" w:rsidP="00981FF1">
      <w:pPr>
        <w:pStyle w:val="Default"/>
        <w:spacing w:after="200"/>
        <w:contextualSpacing/>
        <w:jc w:val="both"/>
        <w:rPr>
          <w:rFonts w:asciiTheme="majorBidi" w:hAnsiTheme="majorBidi" w:cstheme="majorBidi"/>
          <w:bCs/>
          <w:sz w:val="22"/>
          <w:szCs w:val="22"/>
          <w:lang w:val="en-IN"/>
        </w:rPr>
      </w:pPr>
    </w:p>
    <w:p w:rsidR="000762E6" w:rsidRDefault="004C3847" w:rsidP="00981FF1">
      <w:pPr>
        <w:pStyle w:val="Default"/>
        <w:spacing w:after="200"/>
        <w:contextualSpacing/>
        <w:jc w:val="both"/>
        <w:rPr>
          <w:rFonts w:asciiTheme="majorBidi" w:hAnsiTheme="majorBidi" w:cstheme="majorBidi"/>
          <w:bCs/>
          <w:sz w:val="22"/>
          <w:szCs w:val="22"/>
          <w:lang w:val="en-IN"/>
        </w:rPr>
      </w:pPr>
      <w:r>
        <w:rPr>
          <w:rFonts w:asciiTheme="majorBidi" w:hAnsiTheme="majorBidi" w:cstheme="majorBidi"/>
          <w:bCs/>
          <w:sz w:val="22"/>
          <w:szCs w:val="22"/>
          <w:lang w:val="en-IN"/>
        </w:rPr>
        <w:t>This study concluded that o</w:t>
      </w:r>
      <w:r w:rsidRPr="004C3847">
        <w:rPr>
          <w:rFonts w:asciiTheme="majorBidi" w:hAnsiTheme="majorBidi" w:cstheme="majorBidi"/>
          <w:bCs/>
          <w:sz w:val="22"/>
          <w:szCs w:val="22"/>
          <w:lang w:val="en-IN"/>
        </w:rPr>
        <w:t xml:space="preserve">f the 6 main compounds of ethanol extract and 11 main compounds of chloroform extract of nut grass </w:t>
      </w:r>
      <w:r w:rsidR="00A24D65">
        <w:rPr>
          <w:rFonts w:asciiTheme="majorBidi" w:hAnsiTheme="majorBidi" w:cstheme="majorBidi"/>
          <w:bCs/>
          <w:sz w:val="22"/>
          <w:szCs w:val="22"/>
          <w:lang w:val="en-IN"/>
        </w:rPr>
        <w:t xml:space="preserve">rhizomes, which is </w:t>
      </w:r>
      <w:r w:rsidRPr="004C3847">
        <w:rPr>
          <w:rFonts w:asciiTheme="majorBidi" w:hAnsiTheme="majorBidi" w:cstheme="majorBidi"/>
          <w:bCs/>
          <w:sz w:val="22"/>
          <w:szCs w:val="22"/>
          <w:lang w:val="en-IN"/>
        </w:rPr>
        <w:t xml:space="preserve">proven to have potential as an antioxidant agent is α-Copaene. </w:t>
      </w:r>
    </w:p>
    <w:p w:rsidR="00A24D65" w:rsidRDefault="00A24D65" w:rsidP="00981FF1">
      <w:pPr>
        <w:pStyle w:val="Default"/>
        <w:spacing w:after="200"/>
        <w:contextualSpacing/>
        <w:jc w:val="both"/>
        <w:rPr>
          <w:rFonts w:asciiTheme="majorBidi" w:hAnsiTheme="majorBidi" w:cstheme="majorBidi"/>
          <w:bCs/>
          <w:sz w:val="22"/>
          <w:szCs w:val="22"/>
          <w:lang w:val="en-IN"/>
        </w:rPr>
      </w:pPr>
    </w:p>
    <w:p w:rsidR="000F3DA5" w:rsidRPr="003A5C17" w:rsidRDefault="000B6000" w:rsidP="00981FF1">
      <w:pPr>
        <w:pStyle w:val="Default"/>
        <w:spacing w:after="200"/>
        <w:contextualSpacing/>
        <w:jc w:val="both"/>
        <w:rPr>
          <w:rFonts w:asciiTheme="majorBidi" w:hAnsiTheme="majorBidi" w:cstheme="majorBidi"/>
          <w:b/>
          <w:bCs/>
          <w:sz w:val="22"/>
          <w:szCs w:val="22"/>
          <w:lang w:val="en-IN"/>
        </w:rPr>
      </w:pPr>
      <w:r w:rsidRPr="003A5C17">
        <w:rPr>
          <w:rFonts w:asciiTheme="majorBidi" w:hAnsiTheme="majorBidi" w:cstheme="majorBidi"/>
          <w:b/>
          <w:bCs/>
          <w:sz w:val="22"/>
          <w:szCs w:val="22"/>
          <w:lang w:val="en-IN"/>
        </w:rPr>
        <w:t>LIMITATION AND STUDY FORWARD</w:t>
      </w:r>
    </w:p>
    <w:p w:rsidR="005405D2" w:rsidRDefault="00A24D65" w:rsidP="00DA5557">
      <w:pPr>
        <w:pStyle w:val="Default"/>
        <w:spacing w:after="200"/>
        <w:ind w:firstLine="720"/>
        <w:contextualSpacing/>
        <w:jc w:val="both"/>
        <w:rPr>
          <w:rFonts w:asciiTheme="majorBidi" w:hAnsiTheme="majorBidi" w:cstheme="majorBidi"/>
          <w:sz w:val="22"/>
          <w:szCs w:val="22"/>
          <w:lang w:val="en-IN"/>
        </w:rPr>
      </w:pPr>
      <w:r w:rsidRPr="00A24D65">
        <w:rPr>
          <w:rFonts w:asciiTheme="majorBidi" w:hAnsiTheme="majorBidi" w:cstheme="majorBidi"/>
          <w:sz w:val="22"/>
          <w:szCs w:val="22"/>
          <w:lang w:val="en-IN"/>
        </w:rPr>
        <w:t xml:space="preserve">This research is limited to the identification </w:t>
      </w:r>
      <w:r>
        <w:rPr>
          <w:rFonts w:asciiTheme="majorBidi" w:hAnsiTheme="majorBidi" w:cstheme="majorBidi"/>
          <w:sz w:val="22"/>
          <w:szCs w:val="22"/>
          <w:lang w:val="en-IN"/>
        </w:rPr>
        <w:t xml:space="preserve">of potential antioxidant activity </w:t>
      </w:r>
      <w:r w:rsidRPr="00A24D65">
        <w:rPr>
          <w:rFonts w:asciiTheme="majorBidi" w:hAnsiTheme="majorBidi" w:cstheme="majorBidi"/>
          <w:sz w:val="22"/>
          <w:szCs w:val="22"/>
          <w:lang w:val="en-IN"/>
        </w:rPr>
        <w:t xml:space="preserve">of the main compound. </w:t>
      </w:r>
      <w:r>
        <w:rPr>
          <w:rFonts w:asciiTheme="majorBidi" w:hAnsiTheme="majorBidi" w:cstheme="majorBidi"/>
          <w:sz w:val="22"/>
          <w:szCs w:val="22"/>
          <w:lang w:val="en-IN"/>
        </w:rPr>
        <w:t xml:space="preserve">Hence, </w:t>
      </w:r>
      <w:r w:rsidRPr="00A24D65">
        <w:rPr>
          <w:rFonts w:asciiTheme="majorBidi" w:hAnsiTheme="majorBidi" w:cstheme="majorBidi"/>
          <w:sz w:val="22"/>
          <w:szCs w:val="22"/>
          <w:lang w:val="en-IN"/>
        </w:rPr>
        <w:t>it is necessary to do further research to explore the potential of other compounds detected in the ethanol and chloroform extract of nuts grass.</w:t>
      </w:r>
      <w:r w:rsidR="00992D22">
        <w:rPr>
          <w:rFonts w:asciiTheme="majorBidi" w:hAnsiTheme="majorBidi" w:cstheme="majorBidi"/>
          <w:sz w:val="22"/>
          <w:szCs w:val="22"/>
          <w:lang w:val="en-IN"/>
        </w:rPr>
        <w:t xml:space="preserve"> </w:t>
      </w:r>
    </w:p>
    <w:p w:rsidR="005405D2" w:rsidRDefault="005405D2" w:rsidP="00981FF1">
      <w:pPr>
        <w:pStyle w:val="Default"/>
        <w:spacing w:after="200"/>
        <w:contextualSpacing/>
        <w:rPr>
          <w:rFonts w:asciiTheme="majorBidi" w:hAnsiTheme="majorBidi" w:cstheme="majorBidi"/>
          <w:sz w:val="22"/>
          <w:szCs w:val="22"/>
          <w:lang w:val="en-IN"/>
        </w:rPr>
      </w:pPr>
    </w:p>
    <w:p w:rsidR="0030703D" w:rsidRPr="003A5C17" w:rsidRDefault="000B6000" w:rsidP="00981FF1">
      <w:pPr>
        <w:pStyle w:val="Default"/>
        <w:spacing w:after="200"/>
        <w:contextualSpacing/>
        <w:rPr>
          <w:rFonts w:asciiTheme="majorBidi" w:hAnsiTheme="majorBidi" w:cstheme="majorBidi"/>
          <w:b/>
          <w:sz w:val="22"/>
          <w:szCs w:val="22"/>
          <w:lang w:val="en-IN"/>
        </w:rPr>
      </w:pPr>
      <w:r w:rsidRPr="003A5C17">
        <w:rPr>
          <w:rFonts w:asciiTheme="majorBidi" w:hAnsiTheme="majorBidi" w:cstheme="majorBidi"/>
          <w:b/>
          <w:sz w:val="22"/>
          <w:szCs w:val="22"/>
          <w:lang w:val="en-IN"/>
        </w:rPr>
        <w:t>ACKNOWLEDGEMENT</w:t>
      </w:r>
    </w:p>
    <w:p w:rsidR="00992D22" w:rsidRPr="003A5C17" w:rsidRDefault="00992D22" w:rsidP="00D55E2B">
      <w:pPr>
        <w:pStyle w:val="Default"/>
        <w:spacing w:after="200"/>
        <w:ind w:firstLine="720"/>
        <w:rPr>
          <w:rFonts w:asciiTheme="majorBidi" w:hAnsiTheme="majorBidi" w:cstheme="majorBidi"/>
          <w:sz w:val="22"/>
          <w:szCs w:val="22"/>
          <w:lang w:val="en-IN"/>
        </w:rPr>
      </w:pPr>
      <w:r>
        <w:rPr>
          <w:rFonts w:asciiTheme="majorBidi" w:hAnsiTheme="majorBidi" w:cstheme="majorBidi"/>
          <w:sz w:val="22"/>
          <w:szCs w:val="22"/>
          <w:lang w:val="en-IN"/>
        </w:rPr>
        <w:t>The author</w:t>
      </w:r>
      <w:r w:rsidR="00E80833">
        <w:rPr>
          <w:rFonts w:asciiTheme="majorBidi" w:hAnsiTheme="majorBidi" w:cstheme="majorBidi"/>
          <w:sz w:val="22"/>
          <w:szCs w:val="22"/>
          <w:lang w:val="en-IN"/>
        </w:rPr>
        <w:t xml:space="preserve">sthank </w:t>
      </w:r>
      <w:r w:rsidR="00186908">
        <w:rPr>
          <w:rFonts w:asciiTheme="majorBidi" w:hAnsiTheme="majorBidi" w:cstheme="majorBidi"/>
          <w:sz w:val="22"/>
          <w:szCs w:val="22"/>
          <w:lang w:val="en-IN"/>
        </w:rPr>
        <w:t xml:space="preserve"> Faculty of Medicine, Universitas Lampung for </w:t>
      </w:r>
      <w:r w:rsidR="00D55E2B">
        <w:rPr>
          <w:rFonts w:asciiTheme="majorBidi" w:hAnsiTheme="majorBidi" w:cstheme="majorBidi"/>
          <w:sz w:val="22"/>
          <w:szCs w:val="22"/>
          <w:lang w:val="en-IN"/>
        </w:rPr>
        <w:t xml:space="preserve">the </w:t>
      </w:r>
      <w:r w:rsidR="00186908">
        <w:rPr>
          <w:rFonts w:asciiTheme="majorBidi" w:hAnsiTheme="majorBidi" w:cstheme="majorBidi"/>
          <w:sz w:val="22"/>
          <w:szCs w:val="22"/>
          <w:lang w:val="en-IN"/>
        </w:rPr>
        <w:t xml:space="preserve">supporting </w:t>
      </w:r>
      <w:r w:rsidR="00E80833">
        <w:rPr>
          <w:rFonts w:asciiTheme="majorBidi" w:hAnsiTheme="majorBidi" w:cstheme="majorBidi"/>
          <w:sz w:val="22"/>
          <w:szCs w:val="22"/>
          <w:lang w:val="en-IN"/>
        </w:rPr>
        <w:t xml:space="preserve">facility </w:t>
      </w:r>
      <w:r w:rsidR="00186908">
        <w:rPr>
          <w:rFonts w:asciiTheme="majorBidi" w:hAnsiTheme="majorBidi" w:cstheme="majorBidi"/>
          <w:sz w:val="22"/>
          <w:szCs w:val="22"/>
          <w:lang w:val="en-IN"/>
        </w:rPr>
        <w:t>and funding. This research study was supported and funded by DIPA</w:t>
      </w:r>
      <w:r w:rsidR="00F06480">
        <w:rPr>
          <w:rFonts w:asciiTheme="majorBidi" w:hAnsiTheme="majorBidi" w:cstheme="majorBidi"/>
          <w:sz w:val="22"/>
          <w:szCs w:val="22"/>
          <w:lang w:val="en-IN"/>
        </w:rPr>
        <w:t xml:space="preserve"> Funding</w:t>
      </w:r>
      <w:r w:rsidR="00186908">
        <w:rPr>
          <w:rFonts w:asciiTheme="majorBidi" w:hAnsiTheme="majorBidi" w:cstheme="majorBidi"/>
          <w:sz w:val="22"/>
          <w:szCs w:val="22"/>
          <w:lang w:val="en-IN"/>
        </w:rPr>
        <w:t xml:space="preserve"> 2020.</w:t>
      </w:r>
    </w:p>
    <w:p w:rsidR="00D47F69" w:rsidRDefault="000B6000" w:rsidP="00981FF1">
      <w:pPr>
        <w:pStyle w:val="Default"/>
        <w:rPr>
          <w:rFonts w:asciiTheme="majorBidi" w:hAnsiTheme="majorBidi" w:cstheme="majorBidi"/>
          <w:b/>
          <w:sz w:val="22"/>
          <w:szCs w:val="22"/>
          <w:lang w:val="en-IN"/>
        </w:rPr>
      </w:pPr>
      <w:r w:rsidRPr="003A5C17">
        <w:rPr>
          <w:rFonts w:asciiTheme="majorBidi" w:hAnsiTheme="majorBidi" w:cstheme="majorBidi"/>
          <w:b/>
          <w:sz w:val="22"/>
          <w:szCs w:val="22"/>
          <w:lang w:val="en-IN"/>
        </w:rPr>
        <w:t>REFERENCES</w:t>
      </w:r>
    </w:p>
    <w:p w:rsidR="002C7E29" w:rsidRDefault="002C7E29">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Amalia, D. R., Zaman, B. and Hadiwidodo, M. (2014) ‘Pengaruh Jumlah Koloni Rumput Teki (Cyperus Rotundus L.) pada Media Tanah TPA terhadap Penurunan Konsentrasi BOD dan COD Dalam Lindi (Studi Kasus TPA Jatibarang – Semarang)’.</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Dewoto, H. R. (2007) ‘Pengembangan Obat Tradisional Menjadi Fitofarmaka’, </w:t>
      </w:r>
      <w:r w:rsidRPr="00DC5BEC">
        <w:rPr>
          <w:rFonts w:ascii="Times New Roman" w:hAnsi="Times New Roman" w:cs="Times New Roman"/>
          <w:i/>
          <w:iCs/>
          <w:noProof/>
          <w:szCs w:val="24"/>
        </w:rPr>
        <w:t>Majalah Kedokteran Indonesia</w:t>
      </w:r>
      <w:r w:rsidRPr="00DC5BEC">
        <w:rPr>
          <w:rFonts w:ascii="Times New Roman" w:hAnsi="Times New Roman" w:cs="Times New Roman"/>
          <w:noProof/>
          <w:szCs w:val="24"/>
        </w:rPr>
        <w:t>, pp. 205–211. doi: 10.24960/jli.v5i1.667.53-59.</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Erwin, E., Joko, T. and Lanang, H. (2017) ‘Efektifitas Constructed Wetlands Tipe Subsurface Flow System dengan Menggunakan Tanaman Cyperus rotundus untuk Menurunkan Kadar Fosfat dan COD pada Limbah Cair Laundry’, </w:t>
      </w:r>
      <w:r w:rsidRPr="00DC5BEC">
        <w:rPr>
          <w:rFonts w:ascii="Times New Roman" w:hAnsi="Times New Roman" w:cs="Times New Roman"/>
          <w:i/>
          <w:iCs/>
          <w:noProof/>
          <w:szCs w:val="24"/>
        </w:rPr>
        <w:t>Jurnal Kesehatan Masyarakat</w:t>
      </w:r>
      <w:r w:rsidRPr="00DC5BEC">
        <w:rPr>
          <w:rFonts w:ascii="Times New Roman" w:hAnsi="Times New Roman" w:cs="Times New Roman"/>
          <w:noProof/>
          <w:szCs w:val="24"/>
        </w:rPr>
        <w:t>, 5(1), pp. 1–6.</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Ganesh, M. and Mohankumar, M. (2017) ‘Extraction and identification of bioactive components in Sida cordata ( Burm . f .) using gas chromatography – mass spectrometry’, </w:t>
      </w:r>
      <w:r w:rsidRPr="00DC5BEC">
        <w:rPr>
          <w:rFonts w:ascii="Times New Roman" w:hAnsi="Times New Roman" w:cs="Times New Roman"/>
          <w:i/>
          <w:iCs/>
          <w:noProof/>
          <w:szCs w:val="24"/>
        </w:rPr>
        <w:t>Journal of Food Science and Technology</w:t>
      </w:r>
      <w:r w:rsidRPr="00DC5BEC">
        <w:rPr>
          <w:rFonts w:ascii="Times New Roman" w:hAnsi="Times New Roman" w:cs="Times New Roman"/>
          <w:noProof/>
          <w:szCs w:val="24"/>
        </w:rPr>
        <w:t>. Springer India, 54(10), pp. 3082–3091. doi: 10.1007/s13197-017-2744-z.</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Lawal, O. A. and Oyedeji, A. O. (2009) ‘Chemical composition of the essential oils of cyperus rotundus L. from South Africa’, </w:t>
      </w:r>
      <w:r w:rsidRPr="00DC5BEC">
        <w:rPr>
          <w:rFonts w:ascii="Times New Roman" w:hAnsi="Times New Roman" w:cs="Times New Roman"/>
          <w:i/>
          <w:iCs/>
          <w:noProof/>
          <w:szCs w:val="24"/>
        </w:rPr>
        <w:t>Molecules</w:t>
      </w:r>
      <w:r w:rsidRPr="00DC5BEC">
        <w:rPr>
          <w:rFonts w:ascii="Times New Roman" w:hAnsi="Times New Roman" w:cs="Times New Roman"/>
          <w:noProof/>
          <w:szCs w:val="24"/>
        </w:rPr>
        <w:t>, 14(8), pp. 2909–2917. doi: 10.3390/molecules14082909.</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Meena, A. K. </w:t>
      </w:r>
      <w:r w:rsidRPr="00DC5BEC">
        <w:rPr>
          <w:rFonts w:ascii="Times New Roman" w:hAnsi="Times New Roman" w:cs="Times New Roman"/>
          <w:i/>
          <w:iCs/>
          <w:noProof/>
          <w:szCs w:val="24"/>
        </w:rPr>
        <w:t>et al.</w:t>
      </w:r>
      <w:r w:rsidRPr="00DC5BEC">
        <w:rPr>
          <w:rFonts w:ascii="Times New Roman" w:hAnsi="Times New Roman" w:cs="Times New Roman"/>
          <w:noProof/>
          <w:szCs w:val="24"/>
        </w:rPr>
        <w:t xml:space="preserve"> (2010) ‘Review on Cyperus rotundus -A Potential Herb’, </w:t>
      </w:r>
      <w:r w:rsidRPr="00DC5BEC">
        <w:rPr>
          <w:rFonts w:ascii="Times New Roman" w:hAnsi="Times New Roman" w:cs="Times New Roman"/>
          <w:i/>
          <w:iCs/>
          <w:noProof/>
          <w:szCs w:val="24"/>
        </w:rPr>
        <w:t>International Journal of Pharmaceutical and Clinical Research</w:t>
      </w:r>
      <w:r w:rsidRPr="00DC5BEC">
        <w:rPr>
          <w:rFonts w:ascii="Times New Roman" w:hAnsi="Times New Roman" w:cs="Times New Roman"/>
          <w:noProof/>
          <w:szCs w:val="24"/>
        </w:rPr>
        <w:t>, 2(1), pp. 20–22. Available at: www.ijpcr.com.</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Nakamura, Y., Paetz, C. and Boland, W. (2017) ‘Synthesis of methyl 4-dihydrotrisporate B and methyl trisporate B, morphogenetic factors of Zygomycetes fungi’, </w:t>
      </w:r>
      <w:r w:rsidRPr="00DC5BEC">
        <w:rPr>
          <w:rFonts w:ascii="Times New Roman" w:hAnsi="Times New Roman" w:cs="Times New Roman"/>
          <w:i/>
          <w:iCs/>
          <w:noProof/>
          <w:szCs w:val="24"/>
        </w:rPr>
        <w:t>Zeitschrift für Naturforschung C</w:t>
      </w:r>
      <w:r w:rsidRPr="00DC5BEC">
        <w:rPr>
          <w:rFonts w:ascii="Times New Roman" w:hAnsi="Times New Roman" w:cs="Times New Roman"/>
          <w:noProof/>
          <w:szCs w:val="24"/>
        </w:rPr>
        <w:t>, 73.</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Pal, M. </w:t>
      </w:r>
      <w:r w:rsidRPr="00DC5BEC">
        <w:rPr>
          <w:rFonts w:ascii="Times New Roman" w:hAnsi="Times New Roman" w:cs="Times New Roman"/>
          <w:i/>
          <w:iCs/>
          <w:noProof/>
          <w:szCs w:val="24"/>
        </w:rPr>
        <w:t>et al.</w:t>
      </w:r>
      <w:r w:rsidRPr="00DC5BEC">
        <w:rPr>
          <w:rFonts w:ascii="Times New Roman" w:hAnsi="Times New Roman" w:cs="Times New Roman"/>
          <w:noProof/>
          <w:szCs w:val="24"/>
        </w:rPr>
        <w:t xml:space="preserve"> (2014) ‘Antioxidants’, in. doi: 10.1007/978-1-4614-8005-1.</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Rahman, M. S. and Anwar, M. N. (2008) ‘Antibacterial and Cytotoxic Activity of Longiverbenone Isolated from the Rhizome of Cyperus scariosu’, </w:t>
      </w:r>
      <w:r w:rsidRPr="00DC5BEC">
        <w:rPr>
          <w:rFonts w:ascii="Times New Roman" w:hAnsi="Times New Roman" w:cs="Times New Roman"/>
          <w:i/>
          <w:iCs/>
          <w:noProof/>
          <w:szCs w:val="24"/>
        </w:rPr>
        <w:t>Bangladesh Journal of Microbiology</w:t>
      </w:r>
      <w:r w:rsidRPr="00DC5BEC">
        <w:rPr>
          <w:rFonts w:ascii="Times New Roman" w:hAnsi="Times New Roman" w:cs="Times New Roman"/>
          <w:noProof/>
          <w:szCs w:val="24"/>
        </w:rPr>
        <w:t>, 25(1), pp. 82–4. doi: 10.3329/bjm.v25i1.4866.</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Sholekah, F. F. (2017) ‘Kandungan Flavonoid dan beta Karoten Buah Karika (Carica pubescens) Daerah Dieng Wonosobo’, in </w:t>
      </w:r>
      <w:r w:rsidRPr="00DC5BEC">
        <w:rPr>
          <w:rFonts w:ascii="Times New Roman" w:hAnsi="Times New Roman" w:cs="Times New Roman"/>
          <w:i/>
          <w:iCs/>
          <w:noProof/>
          <w:szCs w:val="24"/>
        </w:rPr>
        <w:t>Seminar Nasional Pendidikan Biologi dan Biologi</w:t>
      </w:r>
      <w:r w:rsidRPr="00DC5BEC">
        <w:rPr>
          <w:rFonts w:ascii="Times New Roman" w:hAnsi="Times New Roman" w:cs="Times New Roman"/>
          <w:noProof/>
          <w:szCs w:val="24"/>
        </w:rPr>
        <w:t>. Yogyakarta: Universitas Negeri Yogyakarta, pp. 75–82.</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Singh, N. </w:t>
      </w:r>
      <w:r w:rsidRPr="00DC5BEC">
        <w:rPr>
          <w:rFonts w:ascii="Times New Roman" w:hAnsi="Times New Roman" w:cs="Times New Roman"/>
          <w:i/>
          <w:iCs/>
          <w:noProof/>
          <w:szCs w:val="24"/>
        </w:rPr>
        <w:t>et al.</w:t>
      </w:r>
      <w:r w:rsidRPr="00DC5BEC">
        <w:rPr>
          <w:rFonts w:ascii="Times New Roman" w:hAnsi="Times New Roman" w:cs="Times New Roman"/>
          <w:noProof/>
          <w:szCs w:val="24"/>
        </w:rPr>
        <w:t xml:space="preserve"> (2012) ‘Phyto-pharmacotherapeutics of Cyperus rotundus Linn. (Motha): An overview’, </w:t>
      </w:r>
      <w:r w:rsidRPr="00DC5BEC">
        <w:rPr>
          <w:rFonts w:ascii="Times New Roman" w:hAnsi="Times New Roman" w:cs="Times New Roman"/>
          <w:i/>
          <w:iCs/>
          <w:noProof/>
          <w:szCs w:val="24"/>
        </w:rPr>
        <w:t>Indian Journal of Natural Products and Resources</w:t>
      </w:r>
      <w:r w:rsidRPr="00DC5BEC">
        <w:rPr>
          <w:rFonts w:ascii="Times New Roman" w:hAnsi="Times New Roman" w:cs="Times New Roman"/>
          <w:noProof/>
          <w:szCs w:val="24"/>
        </w:rPr>
        <w:t>, 3(4), pp. 467–476.</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Sivapalan, S. R. (2013) ‘Medicinal uses and Pharmacological activities of Cyperus rotundus Linn – A Review’, </w:t>
      </w:r>
      <w:r w:rsidRPr="00DC5BEC">
        <w:rPr>
          <w:rFonts w:ascii="Times New Roman" w:hAnsi="Times New Roman" w:cs="Times New Roman"/>
          <w:i/>
          <w:iCs/>
          <w:noProof/>
          <w:szCs w:val="24"/>
        </w:rPr>
        <w:t>International Journal of Scientific and Research Publications</w:t>
      </w:r>
      <w:r w:rsidRPr="00DC5BEC">
        <w:rPr>
          <w:rFonts w:ascii="Times New Roman" w:hAnsi="Times New Roman" w:cs="Times New Roman"/>
          <w:noProof/>
          <w:szCs w:val="24"/>
        </w:rPr>
        <w:t xml:space="preserve">, 3(1), pp. 2250–3153. </w:t>
      </w:r>
      <w:r w:rsidRPr="00DC5BEC">
        <w:rPr>
          <w:rFonts w:ascii="Times New Roman" w:hAnsi="Times New Roman" w:cs="Times New Roman"/>
          <w:noProof/>
          <w:szCs w:val="24"/>
        </w:rPr>
        <w:lastRenderedPageBreak/>
        <w:t>Available at: www.ijsrp.org.</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Swamy, M. K. and Sinniah, U. R. (2015) ‘A Comprehensive Review on the Phytochemical Constituents and Pharmacological Activities of Pogostemon cablin Benth.: An Aromatic Medicinal Plant of Industrial Importance’, </w:t>
      </w:r>
      <w:r w:rsidRPr="00DC5BEC">
        <w:rPr>
          <w:rFonts w:ascii="Times New Roman" w:hAnsi="Times New Roman" w:cs="Times New Roman"/>
          <w:i/>
          <w:iCs/>
          <w:noProof/>
          <w:szCs w:val="24"/>
        </w:rPr>
        <w:t>Molecules</w:t>
      </w:r>
      <w:r w:rsidRPr="00DC5BEC">
        <w:rPr>
          <w:rFonts w:ascii="Times New Roman" w:hAnsi="Times New Roman" w:cs="Times New Roman"/>
          <w:noProof/>
          <w:szCs w:val="24"/>
        </w:rPr>
        <w:t>, 20, pp. 8521–8547. doi: 10.3390/molecules20058521.</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Turkez, H. </w:t>
      </w:r>
      <w:r w:rsidRPr="00DC5BEC">
        <w:rPr>
          <w:rFonts w:ascii="Times New Roman" w:hAnsi="Times New Roman" w:cs="Times New Roman"/>
          <w:i/>
          <w:iCs/>
          <w:noProof/>
          <w:szCs w:val="24"/>
        </w:rPr>
        <w:t>et al.</w:t>
      </w:r>
      <w:r w:rsidRPr="00DC5BEC">
        <w:rPr>
          <w:rFonts w:ascii="Times New Roman" w:hAnsi="Times New Roman" w:cs="Times New Roman"/>
          <w:noProof/>
          <w:szCs w:val="24"/>
        </w:rPr>
        <w:t xml:space="preserve"> (2014) ‘Cytotoxic and cytogenetic effects of α-copaene on rat neuron and N2a neuroblastoma cell lines’, </w:t>
      </w:r>
      <w:r w:rsidRPr="00DC5BEC">
        <w:rPr>
          <w:rFonts w:ascii="Times New Roman" w:hAnsi="Times New Roman" w:cs="Times New Roman"/>
          <w:i/>
          <w:iCs/>
          <w:noProof/>
          <w:szCs w:val="24"/>
        </w:rPr>
        <w:t>Biologia</w:t>
      </w:r>
      <w:r w:rsidRPr="00DC5BEC">
        <w:rPr>
          <w:rFonts w:ascii="Times New Roman" w:hAnsi="Times New Roman" w:cs="Times New Roman"/>
          <w:noProof/>
          <w:szCs w:val="24"/>
        </w:rPr>
        <w:t>, 69, pp. 936–42.</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Turkez, H., Celik, K. and Togar, B. (2014) ‘Effects of copaene , a tricyclic sesquiterpene , on human lymphocytes cells in vitro’, </w:t>
      </w:r>
      <w:r w:rsidRPr="00DC5BEC">
        <w:rPr>
          <w:rFonts w:ascii="Times New Roman" w:hAnsi="Times New Roman" w:cs="Times New Roman"/>
          <w:i/>
          <w:iCs/>
          <w:noProof/>
          <w:szCs w:val="24"/>
        </w:rPr>
        <w:t>Cytotechnology</w:t>
      </w:r>
      <w:r w:rsidRPr="00DC5BEC">
        <w:rPr>
          <w:rFonts w:ascii="Times New Roman" w:hAnsi="Times New Roman" w:cs="Times New Roman"/>
          <w:noProof/>
          <w:szCs w:val="24"/>
        </w:rPr>
        <w:t>, 66, pp. 597–603. doi: 10.1007/s10616-013-9611-1.</w:t>
      </w:r>
    </w:p>
    <w:p w:rsidR="002C7E29" w:rsidRPr="00DC5BEC" w:rsidRDefault="002C7E29" w:rsidP="002C7E29">
      <w:pPr>
        <w:widowControl w:val="0"/>
        <w:autoSpaceDE w:val="0"/>
        <w:autoSpaceDN w:val="0"/>
        <w:adjustRightInd w:val="0"/>
        <w:spacing w:after="120" w:line="240" w:lineRule="auto"/>
        <w:ind w:left="720" w:hanging="720"/>
        <w:jc w:val="both"/>
        <w:rPr>
          <w:rFonts w:ascii="Times New Roman" w:hAnsi="Times New Roman" w:cs="Times New Roman"/>
          <w:noProof/>
          <w:szCs w:val="24"/>
        </w:rPr>
      </w:pPr>
      <w:r w:rsidRPr="00DC5BEC">
        <w:rPr>
          <w:rFonts w:ascii="Times New Roman" w:hAnsi="Times New Roman" w:cs="Times New Roman"/>
          <w:noProof/>
          <w:szCs w:val="24"/>
        </w:rPr>
        <w:t xml:space="preserve">Wang, Jihua </w:t>
      </w:r>
      <w:r w:rsidRPr="00DC5BEC">
        <w:rPr>
          <w:rFonts w:ascii="Times New Roman" w:hAnsi="Times New Roman" w:cs="Times New Roman"/>
          <w:i/>
          <w:iCs/>
          <w:noProof/>
          <w:szCs w:val="24"/>
        </w:rPr>
        <w:t>et al.</w:t>
      </w:r>
      <w:r w:rsidRPr="00DC5BEC">
        <w:rPr>
          <w:rFonts w:ascii="Times New Roman" w:hAnsi="Times New Roman" w:cs="Times New Roman"/>
          <w:noProof/>
          <w:szCs w:val="24"/>
        </w:rPr>
        <w:t xml:space="preserve"> (2010) ‘Chemical Analysis and Biological Activity of the Essential Oils of Two Valerianaceous Species from China: Nardostachys chinensis and Valeriana officinalis’, </w:t>
      </w:r>
      <w:r w:rsidRPr="00DC5BEC">
        <w:rPr>
          <w:rFonts w:ascii="Times New Roman" w:hAnsi="Times New Roman" w:cs="Times New Roman"/>
          <w:i/>
          <w:iCs/>
          <w:noProof/>
          <w:szCs w:val="24"/>
        </w:rPr>
        <w:t>Molecules</w:t>
      </w:r>
      <w:r w:rsidRPr="00DC5BEC">
        <w:rPr>
          <w:rFonts w:ascii="Times New Roman" w:hAnsi="Times New Roman" w:cs="Times New Roman"/>
          <w:noProof/>
          <w:szCs w:val="24"/>
        </w:rPr>
        <w:t>, 15, pp. 6411–6422. doi: 10.3390/molecules15096411.</w:t>
      </w:r>
    </w:p>
    <w:p w:rsidR="002C7E29" w:rsidRPr="00DC5BEC" w:rsidRDefault="002C7E29" w:rsidP="002C7E29">
      <w:pPr>
        <w:widowControl w:val="0"/>
        <w:autoSpaceDE w:val="0"/>
        <w:autoSpaceDN w:val="0"/>
        <w:adjustRightInd w:val="0"/>
        <w:spacing w:after="120" w:line="240" w:lineRule="auto"/>
        <w:ind w:left="720" w:hanging="720"/>
        <w:jc w:val="both"/>
        <w:rPr>
          <w:noProof/>
          <w:sz w:val="20"/>
        </w:rPr>
      </w:pPr>
      <w:r w:rsidRPr="00DC5BEC">
        <w:rPr>
          <w:rFonts w:ascii="Times New Roman" w:hAnsi="Times New Roman" w:cs="Times New Roman"/>
          <w:noProof/>
          <w:szCs w:val="24"/>
        </w:rPr>
        <w:t xml:space="preserve">Yagi, S. </w:t>
      </w:r>
      <w:r w:rsidRPr="00DC5BEC">
        <w:rPr>
          <w:rFonts w:ascii="Times New Roman" w:hAnsi="Times New Roman" w:cs="Times New Roman"/>
          <w:i/>
          <w:iCs/>
          <w:noProof/>
          <w:szCs w:val="24"/>
        </w:rPr>
        <w:t>et al.</w:t>
      </w:r>
      <w:r w:rsidRPr="00DC5BEC">
        <w:rPr>
          <w:rFonts w:ascii="Times New Roman" w:hAnsi="Times New Roman" w:cs="Times New Roman"/>
          <w:noProof/>
          <w:szCs w:val="24"/>
        </w:rPr>
        <w:t xml:space="preserve"> (2016) ‘Chemical composition, antiproliferative, antioxidant and antibacterial activities of essential oils from aromatic plants growing in Sudan’, </w:t>
      </w:r>
      <w:r w:rsidRPr="00DC5BEC">
        <w:rPr>
          <w:rFonts w:ascii="Times New Roman" w:hAnsi="Times New Roman" w:cs="Times New Roman"/>
          <w:i/>
          <w:iCs/>
          <w:noProof/>
          <w:szCs w:val="24"/>
        </w:rPr>
        <w:t>Asian Pacific Journal of Tropical Medicine</w:t>
      </w:r>
      <w:r w:rsidRPr="00DC5BEC">
        <w:rPr>
          <w:rFonts w:ascii="Times New Roman" w:hAnsi="Times New Roman" w:cs="Times New Roman"/>
          <w:noProof/>
          <w:szCs w:val="24"/>
        </w:rPr>
        <w:t>. Elsevier B.V., 9(8), pp. 763–770. doi: 10.1016/j.apjtm.2016.06.009.</w:t>
      </w:r>
    </w:p>
    <w:p w:rsidR="00A85C2A" w:rsidRPr="00D55E2B" w:rsidRDefault="002C7E29" w:rsidP="00D55E2B">
      <w:pPr>
        <w:spacing w:after="0" w:line="240" w:lineRule="auto"/>
        <w:ind w:left="567" w:hanging="567"/>
        <w:jc w:val="both"/>
        <w:rPr>
          <w:rFonts w:ascii="Times New Roman" w:hAnsi="Times New Roman" w:cs="Times New Roman"/>
        </w:rPr>
      </w:pPr>
      <w:r>
        <w:rPr>
          <w:rFonts w:ascii="Times New Roman" w:hAnsi="Times New Roman" w:cs="Times New Roman"/>
        </w:rPr>
        <w:fldChar w:fldCharType="end"/>
      </w:r>
    </w:p>
    <w:sectPr w:rsidR="00A85C2A" w:rsidRPr="00D55E2B" w:rsidSect="009569F9">
      <w:headerReference w:type="default" r:id="rId10"/>
      <w:type w:val="continuous"/>
      <w:pgSz w:w="11907" w:h="16839" w:code="9"/>
      <w:pgMar w:top="1413" w:right="1440" w:bottom="1440" w:left="1440" w:header="720" w:footer="5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C2C" w:rsidRDefault="00ED1C2C">
      <w:pPr>
        <w:spacing w:after="0" w:line="240" w:lineRule="auto"/>
      </w:pPr>
      <w:r>
        <w:separator/>
      </w:r>
    </w:p>
  </w:endnote>
  <w:endnote w:type="continuationSeparator" w:id="1">
    <w:p w:rsidR="00ED1C2C" w:rsidRDefault="00ED1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color w:val="385623" w:themeColor="accent6" w:themeShade="80"/>
        <w:sz w:val="20"/>
        <w:szCs w:val="20"/>
      </w:rPr>
      <w:id w:val="794104271"/>
      <w:docPartObj>
        <w:docPartGallery w:val="Page Numbers (Bottom of Page)"/>
        <w:docPartUnique/>
      </w:docPartObj>
    </w:sdtPr>
    <w:sdtEndPr>
      <w:rPr>
        <w:rFonts w:asciiTheme="minorHAnsi" w:hAnsiTheme="minorHAnsi"/>
        <w:b/>
        <w:spacing w:val="60"/>
      </w:rPr>
    </w:sdtEndPr>
    <w:sdtContent>
      <w:p w:rsidR="00FA62DB" w:rsidRPr="00A026A6" w:rsidRDefault="00FA62DB" w:rsidP="00694248">
        <w:pPr>
          <w:pStyle w:val="Footer"/>
          <w:pBdr>
            <w:top w:val="single" w:sz="4" w:space="1" w:color="D9D9D9" w:themeColor="background1" w:themeShade="D9"/>
          </w:pBdr>
          <w:jc w:val="center"/>
          <w:rPr>
            <w:rFonts w:cstheme="majorBidi"/>
            <w:b/>
            <w:color w:val="385623" w:themeColor="accent6" w:themeShade="80"/>
            <w:sz w:val="20"/>
            <w:szCs w:val="20"/>
          </w:rPr>
        </w:pPr>
        <w:r w:rsidRPr="00B13064">
          <w:rPr>
            <w:rFonts w:cstheme="majorBidi"/>
            <w:b/>
            <w:color w:val="385623" w:themeColor="accent6" w:themeShade="80"/>
            <w:sz w:val="20"/>
            <w:szCs w:val="20"/>
            <w:lang w:val="id-ID"/>
          </w:rPr>
          <w:t>International Confrence on Agromedicine and Medical Sciences (ICAMS) 2020</w:t>
        </w:r>
      </w:p>
    </w:sdtContent>
  </w:sdt>
  <w:p w:rsidR="00FA62DB" w:rsidRDefault="00FC4042" w:rsidP="00BE12E4">
    <w:pPr>
      <w:pStyle w:val="Footer"/>
      <w:tabs>
        <w:tab w:val="clear" w:pos="4680"/>
        <w:tab w:val="clear" w:pos="9360"/>
        <w:tab w:val="left" w:pos="5625"/>
      </w:tabs>
    </w:pPr>
    <w:sdt>
      <w:sdtPr>
        <w:id w:val="2011333822"/>
        <w:docPartObj>
          <w:docPartGallery w:val="Page Numbers (Bottom of Page)"/>
          <w:docPartUnique/>
        </w:docPartObj>
      </w:sdtPr>
      <w:sdtEndPr>
        <w:rPr>
          <w:noProof/>
        </w:rPr>
      </w:sdtEndPr>
      <w:sdtContent>
        <w:r>
          <w:fldChar w:fldCharType="begin"/>
        </w:r>
        <w:r w:rsidR="00FA62DB">
          <w:instrText xml:space="preserve"> PAGE   \* MERGEFORMAT </w:instrText>
        </w:r>
        <w:r>
          <w:fldChar w:fldCharType="separate"/>
        </w:r>
        <w:r w:rsidR="00DC5BEC">
          <w:rPr>
            <w:noProof/>
          </w:rPr>
          <w:t>2</w:t>
        </w:r>
        <w:r>
          <w:rPr>
            <w:noProof/>
          </w:rPr>
          <w:fldChar w:fldCharType="end"/>
        </w:r>
      </w:sdtContent>
    </w:sdt>
    <w:r w:rsidR="00FA62DB">
      <w:rPr>
        <w:noProof/>
      </w:rPr>
      <w:tab/>
    </w:r>
  </w:p>
  <w:p w:rsidR="00FA62DB" w:rsidRPr="00694248" w:rsidRDefault="00FA62DB" w:rsidP="00694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C2C" w:rsidRDefault="00ED1C2C">
      <w:pPr>
        <w:spacing w:after="0" w:line="240" w:lineRule="auto"/>
      </w:pPr>
      <w:r>
        <w:separator/>
      </w:r>
    </w:p>
  </w:footnote>
  <w:footnote w:type="continuationSeparator" w:id="1">
    <w:p w:rsidR="00ED1C2C" w:rsidRDefault="00ED1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DB" w:rsidRDefault="00FA62DB" w:rsidP="00AD04E2">
    <w:pPr>
      <w:pStyle w:val="Header"/>
      <w:pBdr>
        <w:bottom w:val="single" w:sz="12" w:space="1" w:color="auto"/>
      </w:pBdr>
      <w:jc w:val="both"/>
    </w:pPr>
    <w:r>
      <w:rPr>
        <w:noProof/>
        <w:lang w:eastAsia="en-US"/>
      </w:rPr>
      <w:drawing>
        <wp:anchor distT="0" distB="0" distL="114300" distR="114300" simplePos="0" relativeHeight="251659264" behindDoc="0" locked="0" layoutInCell="1" allowOverlap="1">
          <wp:simplePos x="0" y="0"/>
          <wp:positionH relativeFrom="margin">
            <wp:align>center</wp:align>
          </wp:positionH>
          <wp:positionV relativeFrom="paragraph">
            <wp:posOffset>-400050</wp:posOffset>
          </wp:positionV>
          <wp:extent cx="2648585" cy="7148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LICoSS PNG.png"/>
                  <pic:cNvPicPr/>
                </pic:nvPicPr>
                <pic:blipFill>
                  <a:blip r:embed="rId1"/>
                  <a:stretch>
                    <a:fillRect/>
                  </a:stretch>
                </pic:blipFill>
                <pic:spPr>
                  <a:xfrm>
                    <a:off x="0" y="0"/>
                    <a:ext cx="2648585" cy="714816"/>
                  </a:xfrm>
                  <a:prstGeom prst="rect">
                    <a:avLst/>
                  </a:prstGeom>
                </pic:spPr>
              </pic:pic>
            </a:graphicData>
          </a:graphic>
        </wp:anchor>
      </w:drawing>
    </w:r>
  </w:p>
  <w:p w:rsidR="00FA62DB" w:rsidRPr="00F949CA" w:rsidRDefault="00FA62DB" w:rsidP="00AD04E2">
    <w:pPr>
      <w:pStyle w:val="Header"/>
      <w:pBdr>
        <w:bottom w:val="single" w:sz="12" w:space="1"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DB" w:rsidRPr="00C93DD7" w:rsidRDefault="00FA62DB" w:rsidP="00C93D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577"/>
    <w:multiLevelType w:val="hybridMultilevel"/>
    <w:tmpl w:val="B2E442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81131E"/>
    <w:multiLevelType w:val="hybridMultilevel"/>
    <w:tmpl w:val="8776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354A"/>
    <w:multiLevelType w:val="hybridMultilevel"/>
    <w:tmpl w:val="2056D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F66815"/>
    <w:multiLevelType w:val="hybridMultilevel"/>
    <w:tmpl w:val="ADC8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D03BC"/>
    <w:multiLevelType w:val="hybridMultilevel"/>
    <w:tmpl w:val="BF469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27D3A"/>
    <w:multiLevelType w:val="hybridMultilevel"/>
    <w:tmpl w:val="C658A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05867"/>
    <w:multiLevelType w:val="hybridMultilevel"/>
    <w:tmpl w:val="629C57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4E1F80"/>
    <w:multiLevelType w:val="hybridMultilevel"/>
    <w:tmpl w:val="83D05E74"/>
    <w:lvl w:ilvl="0" w:tplc="BFC6AF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18F5EEE"/>
    <w:multiLevelType w:val="hybridMultilevel"/>
    <w:tmpl w:val="10281B68"/>
    <w:lvl w:ilvl="0" w:tplc="50E6E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E35C73"/>
    <w:multiLevelType w:val="hybridMultilevel"/>
    <w:tmpl w:val="A95EE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E0568"/>
    <w:multiLevelType w:val="hybridMultilevel"/>
    <w:tmpl w:val="FE6E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C58B9"/>
    <w:multiLevelType w:val="hybridMultilevel"/>
    <w:tmpl w:val="4650FA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4B50A1"/>
    <w:multiLevelType w:val="hybridMultilevel"/>
    <w:tmpl w:val="6E94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E18C1"/>
    <w:multiLevelType w:val="hybridMultilevel"/>
    <w:tmpl w:val="298C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03C75"/>
    <w:multiLevelType w:val="hybridMultilevel"/>
    <w:tmpl w:val="0B28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64A4A"/>
    <w:multiLevelType w:val="hybridMultilevel"/>
    <w:tmpl w:val="1B40B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DF3688"/>
    <w:multiLevelType w:val="hybridMultilevel"/>
    <w:tmpl w:val="5692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46141E"/>
    <w:multiLevelType w:val="hybridMultilevel"/>
    <w:tmpl w:val="121C4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DE539E"/>
    <w:multiLevelType w:val="hybridMultilevel"/>
    <w:tmpl w:val="C124F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16"/>
  </w:num>
  <w:num w:numId="4">
    <w:abstractNumId w:val="18"/>
  </w:num>
  <w:num w:numId="5">
    <w:abstractNumId w:val="5"/>
  </w:num>
  <w:num w:numId="6">
    <w:abstractNumId w:val="2"/>
  </w:num>
  <w:num w:numId="7">
    <w:abstractNumId w:val="9"/>
  </w:num>
  <w:num w:numId="8">
    <w:abstractNumId w:val="19"/>
  </w:num>
  <w:num w:numId="9">
    <w:abstractNumId w:val="4"/>
  </w:num>
  <w:num w:numId="10">
    <w:abstractNumId w:val="11"/>
  </w:num>
  <w:num w:numId="11">
    <w:abstractNumId w:val="17"/>
  </w:num>
  <w:num w:numId="12">
    <w:abstractNumId w:val="14"/>
  </w:num>
  <w:num w:numId="13">
    <w:abstractNumId w:val="0"/>
  </w:num>
  <w:num w:numId="14">
    <w:abstractNumId w:val="15"/>
  </w:num>
  <w:num w:numId="15">
    <w:abstractNumId w:val="8"/>
  </w:num>
  <w:num w:numId="16">
    <w:abstractNumId w:val="3"/>
  </w:num>
  <w:num w:numId="17">
    <w:abstractNumId w:val="7"/>
  </w:num>
  <w:num w:numId="18">
    <w:abstractNumId w:val="12"/>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8194"/>
  </w:hdrShapeDefaults>
  <w:footnotePr>
    <w:footnote w:id="0"/>
    <w:footnote w:id="1"/>
  </w:footnotePr>
  <w:endnotePr>
    <w:endnote w:id="0"/>
    <w:endnote w:id="1"/>
  </w:endnotePr>
  <w:compat/>
  <w:rsids>
    <w:rsidRoot w:val="002E5732"/>
    <w:rsid w:val="00001C31"/>
    <w:rsid w:val="00006CE2"/>
    <w:rsid w:val="00011B07"/>
    <w:rsid w:val="000138FB"/>
    <w:rsid w:val="0003305D"/>
    <w:rsid w:val="00037175"/>
    <w:rsid w:val="00052326"/>
    <w:rsid w:val="00055D62"/>
    <w:rsid w:val="00056E13"/>
    <w:rsid w:val="000643DE"/>
    <w:rsid w:val="000762E6"/>
    <w:rsid w:val="00096AAE"/>
    <w:rsid w:val="000A514C"/>
    <w:rsid w:val="000B1613"/>
    <w:rsid w:val="000B56B2"/>
    <w:rsid w:val="000B6000"/>
    <w:rsid w:val="000B6438"/>
    <w:rsid w:val="000C42D3"/>
    <w:rsid w:val="000C48AA"/>
    <w:rsid w:val="000C503F"/>
    <w:rsid w:val="000C724A"/>
    <w:rsid w:val="000D79A1"/>
    <w:rsid w:val="000F23D7"/>
    <w:rsid w:val="000F3DA5"/>
    <w:rsid w:val="000F681A"/>
    <w:rsid w:val="00100749"/>
    <w:rsid w:val="00102E9D"/>
    <w:rsid w:val="00104FB3"/>
    <w:rsid w:val="00110BF1"/>
    <w:rsid w:val="001134F5"/>
    <w:rsid w:val="0011438E"/>
    <w:rsid w:val="00117537"/>
    <w:rsid w:val="00123E66"/>
    <w:rsid w:val="00125D73"/>
    <w:rsid w:val="001349CF"/>
    <w:rsid w:val="001421B7"/>
    <w:rsid w:val="00142C7E"/>
    <w:rsid w:val="001473DD"/>
    <w:rsid w:val="00150A99"/>
    <w:rsid w:val="00150EE5"/>
    <w:rsid w:val="00151B80"/>
    <w:rsid w:val="00156498"/>
    <w:rsid w:val="00156EA9"/>
    <w:rsid w:val="00170B51"/>
    <w:rsid w:val="00171A13"/>
    <w:rsid w:val="00186908"/>
    <w:rsid w:val="001A24C5"/>
    <w:rsid w:val="001A4FF4"/>
    <w:rsid w:val="001B37A3"/>
    <w:rsid w:val="001B6C82"/>
    <w:rsid w:val="001B77E7"/>
    <w:rsid w:val="001E38FF"/>
    <w:rsid w:val="001E4225"/>
    <w:rsid w:val="001F1B54"/>
    <w:rsid w:val="001F30A3"/>
    <w:rsid w:val="001F5083"/>
    <w:rsid w:val="00202DDE"/>
    <w:rsid w:val="00204460"/>
    <w:rsid w:val="00213879"/>
    <w:rsid w:val="00217127"/>
    <w:rsid w:val="002172A9"/>
    <w:rsid w:val="00221B0B"/>
    <w:rsid w:val="00223506"/>
    <w:rsid w:val="0022592D"/>
    <w:rsid w:val="00230ECB"/>
    <w:rsid w:val="002313FB"/>
    <w:rsid w:val="002356FE"/>
    <w:rsid w:val="00242605"/>
    <w:rsid w:val="00242D08"/>
    <w:rsid w:val="00251937"/>
    <w:rsid w:val="0025655C"/>
    <w:rsid w:val="00257129"/>
    <w:rsid w:val="002577A9"/>
    <w:rsid w:val="00260F7E"/>
    <w:rsid w:val="0026485D"/>
    <w:rsid w:val="002756CD"/>
    <w:rsid w:val="00277CAA"/>
    <w:rsid w:val="002848F5"/>
    <w:rsid w:val="0029084B"/>
    <w:rsid w:val="00291463"/>
    <w:rsid w:val="002968C7"/>
    <w:rsid w:val="00296D5F"/>
    <w:rsid w:val="002A0C72"/>
    <w:rsid w:val="002A42A6"/>
    <w:rsid w:val="002A5095"/>
    <w:rsid w:val="002B2021"/>
    <w:rsid w:val="002B2C66"/>
    <w:rsid w:val="002C707C"/>
    <w:rsid w:val="002C7E29"/>
    <w:rsid w:val="002D377C"/>
    <w:rsid w:val="002D41F1"/>
    <w:rsid w:val="002D4974"/>
    <w:rsid w:val="002E5732"/>
    <w:rsid w:val="002E5ECF"/>
    <w:rsid w:val="002F4AF6"/>
    <w:rsid w:val="0030703D"/>
    <w:rsid w:val="00317552"/>
    <w:rsid w:val="00317C21"/>
    <w:rsid w:val="003205F1"/>
    <w:rsid w:val="00335812"/>
    <w:rsid w:val="0035537C"/>
    <w:rsid w:val="0036418E"/>
    <w:rsid w:val="00364861"/>
    <w:rsid w:val="00364F90"/>
    <w:rsid w:val="00365544"/>
    <w:rsid w:val="00371000"/>
    <w:rsid w:val="00377205"/>
    <w:rsid w:val="0038281E"/>
    <w:rsid w:val="0038499F"/>
    <w:rsid w:val="0039418B"/>
    <w:rsid w:val="003A5C17"/>
    <w:rsid w:val="003B4CB3"/>
    <w:rsid w:val="003B5BE7"/>
    <w:rsid w:val="003C3D6E"/>
    <w:rsid w:val="003C7FF6"/>
    <w:rsid w:val="003D5DE9"/>
    <w:rsid w:val="003E4EFA"/>
    <w:rsid w:val="00401CE2"/>
    <w:rsid w:val="00414438"/>
    <w:rsid w:val="00420D27"/>
    <w:rsid w:val="00424133"/>
    <w:rsid w:val="00431C33"/>
    <w:rsid w:val="00442BE4"/>
    <w:rsid w:val="00442DB1"/>
    <w:rsid w:val="004600CF"/>
    <w:rsid w:val="00464D6B"/>
    <w:rsid w:val="00465853"/>
    <w:rsid w:val="00466A90"/>
    <w:rsid w:val="00476127"/>
    <w:rsid w:val="00480D3C"/>
    <w:rsid w:val="00482AB0"/>
    <w:rsid w:val="00485CE1"/>
    <w:rsid w:val="00494EBA"/>
    <w:rsid w:val="004A238D"/>
    <w:rsid w:val="004B074A"/>
    <w:rsid w:val="004B3169"/>
    <w:rsid w:val="004C3847"/>
    <w:rsid w:val="004C5F89"/>
    <w:rsid w:val="004D41A7"/>
    <w:rsid w:val="004E1B53"/>
    <w:rsid w:val="004E2FBF"/>
    <w:rsid w:val="004E39C6"/>
    <w:rsid w:val="004E62EE"/>
    <w:rsid w:val="0050040B"/>
    <w:rsid w:val="00501C16"/>
    <w:rsid w:val="00502FDB"/>
    <w:rsid w:val="00513428"/>
    <w:rsid w:val="00520230"/>
    <w:rsid w:val="00525B22"/>
    <w:rsid w:val="00530913"/>
    <w:rsid w:val="00537F9B"/>
    <w:rsid w:val="005405D2"/>
    <w:rsid w:val="00542BD9"/>
    <w:rsid w:val="0055123A"/>
    <w:rsid w:val="00556246"/>
    <w:rsid w:val="00567240"/>
    <w:rsid w:val="00571786"/>
    <w:rsid w:val="00581765"/>
    <w:rsid w:val="005A5FC0"/>
    <w:rsid w:val="005B007F"/>
    <w:rsid w:val="005B47DA"/>
    <w:rsid w:val="005B58F9"/>
    <w:rsid w:val="005C30F8"/>
    <w:rsid w:val="005C60E2"/>
    <w:rsid w:val="005C6559"/>
    <w:rsid w:val="005D18D9"/>
    <w:rsid w:val="005D432C"/>
    <w:rsid w:val="005F1C64"/>
    <w:rsid w:val="00603D2A"/>
    <w:rsid w:val="0060602C"/>
    <w:rsid w:val="006210C3"/>
    <w:rsid w:val="00622457"/>
    <w:rsid w:val="0062495A"/>
    <w:rsid w:val="006262B1"/>
    <w:rsid w:val="006264B3"/>
    <w:rsid w:val="00626814"/>
    <w:rsid w:val="00631DAB"/>
    <w:rsid w:val="00634318"/>
    <w:rsid w:val="006464C7"/>
    <w:rsid w:val="006645B7"/>
    <w:rsid w:val="00674B5A"/>
    <w:rsid w:val="00690EC0"/>
    <w:rsid w:val="00694248"/>
    <w:rsid w:val="006A2EB3"/>
    <w:rsid w:val="006A5CFE"/>
    <w:rsid w:val="006B14C8"/>
    <w:rsid w:val="006C47B3"/>
    <w:rsid w:val="006D1F88"/>
    <w:rsid w:val="006E4AA5"/>
    <w:rsid w:val="006F5213"/>
    <w:rsid w:val="006F7D9F"/>
    <w:rsid w:val="007023B0"/>
    <w:rsid w:val="00720749"/>
    <w:rsid w:val="0073021B"/>
    <w:rsid w:val="00756C2D"/>
    <w:rsid w:val="00770940"/>
    <w:rsid w:val="007719E4"/>
    <w:rsid w:val="007741F2"/>
    <w:rsid w:val="0077553D"/>
    <w:rsid w:val="00782CFC"/>
    <w:rsid w:val="007848A2"/>
    <w:rsid w:val="00785EB6"/>
    <w:rsid w:val="007963D0"/>
    <w:rsid w:val="007A0236"/>
    <w:rsid w:val="007B374C"/>
    <w:rsid w:val="007C6103"/>
    <w:rsid w:val="007D2227"/>
    <w:rsid w:val="007D4521"/>
    <w:rsid w:val="007D5DCB"/>
    <w:rsid w:val="007D66C4"/>
    <w:rsid w:val="007E1459"/>
    <w:rsid w:val="007E2BE4"/>
    <w:rsid w:val="007E4E62"/>
    <w:rsid w:val="007E56A0"/>
    <w:rsid w:val="007F3092"/>
    <w:rsid w:val="007F741F"/>
    <w:rsid w:val="00807B14"/>
    <w:rsid w:val="00815670"/>
    <w:rsid w:val="00825FC7"/>
    <w:rsid w:val="008570E7"/>
    <w:rsid w:val="00861ED1"/>
    <w:rsid w:val="008620D4"/>
    <w:rsid w:val="00866F1E"/>
    <w:rsid w:val="0087359C"/>
    <w:rsid w:val="00874055"/>
    <w:rsid w:val="00877088"/>
    <w:rsid w:val="00883D1D"/>
    <w:rsid w:val="00895DF0"/>
    <w:rsid w:val="008A094B"/>
    <w:rsid w:val="008A50C3"/>
    <w:rsid w:val="008A549C"/>
    <w:rsid w:val="008A6A45"/>
    <w:rsid w:val="008C1614"/>
    <w:rsid w:val="008C7D97"/>
    <w:rsid w:val="008E14AA"/>
    <w:rsid w:val="00910A4E"/>
    <w:rsid w:val="0092062D"/>
    <w:rsid w:val="00920BB9"/>
    <w:rsid w:val="00922945"/>
    <w:rsid w:val="00925090"/>
    <w:rsid w:val="009265F4"/>
    <w:rsid w:val="009348E6"/>
    <w:rsid w:val="00944236"/>
    <w:rsid w:val="0094449C"/>
    <w:rsid w:val="009569F9"/>
    <w:rsid w:val="00957BB7"/>
    <w:rsid w:val="00961793"/>
    <w:rsid w:val="00971BE8"/>
    <w:rsid w:val="00974251"/>
    <w:rsid w:val="00981FF1"/>
    <w:rsid w:val="00983BF9"/>
    <w:rsid w:val="00991490"/>
    <w:rsid w:val="00992D22"/>
    <w:rsid w:val="00995A28"/>
    <w:rsid w:val="009A29AF"/>
    <w:rsid w:val="009B3340"/>
    <w:rsid w:val="009B59B6"/>
    <w:rsid w:val="009D46AF"/>
    <w:rsid w:val="009E1E72"/>
    <w:rsid w:val="009E2048"/>
    <w:rsid w:val="009E384B"/>
    <w:rsid w:val="009F78A8"/>
    <w:rsid w:val="00A026A6"/>
    <w:rsid w:val="00A06437"/>
    <w:rsid w:val="00A07B03"/>
    <w:rsid w:val="00A21FF8"/>
    <w:rsid w:val="00A247A2"/>
    <w:rsid w:val="00A24D65"/>
    <w:rsid w:val="00A30B58"/>
    <w:rsid w:val="00A341B5"/>
    <w:rsid w:val="00A50A97"/>
    <w:rsid w:val="00A64B56"/>
    <w:rsid w:val="00A755F0"/>
    <w:rsid w:val="00A80522"/>
    <w:rsid w:val="00A854A7"/>
    <w:rsid w:val="00A85C2A"/>
    <w:rsid w:val="00A91991"/>
    <w:rsid w:val="00A97433"/>
    <w:rsid w:val="00AA4E55"/>
    <w:rsid w:val="00AA54A9"/>
    <w:rsid w:val="00AB2AAC"/>
    <w:rsid w:val="00AB3D26"/>
    <w:rsid w:val="00AC2BBB"/>
    <w:rsid w:val="00AC2F7A"/>
    <w:rsid w:val="00AD04E2"/>
    <w:rsid w:val="00AD3A66"/>
    <w:rsid w:val="00AD6503"/>
    <w:rsid w:val="00AE7AC1"/>
    <w:rsid w:val="00B12623"/>
    <w:rsid w:val="00B13064"/>
    <w:rsid w:val="00B304DC"/>
    <w:rsid w:val="00B33EAC"/>
    <w:rsid w:val="00B34020"/>
    <w:rsid w:val="00B34EB1"/>
    <w:rsid w:val="00B375F3"/>
    <w:rsid w:val="00B517E5"/>
    <w:rsid w:val="00B64BD1"/>
    <w:rsid w:val="00B66886"/>
    <w:rsid w:val="00B66B97"/>
    <w:rsid w:val="00B726AA"/>
    <w:rsid w:val="00B76563"/>
    <w:rsid w:val="00B777F9"/>
    <w:rsid w:val="00B8460C"/>
    <w:rsid w:val="00B86325"/>
    <w:rsid w:val="00B92B3D"/>
    <w:rsid w:val="00B9724A"/>
    <w:rsid w:val="00BA1DBB"/>
    <w:rsid w:val="00BB36B2"/>
    <w:rsid w:val="00BB633F"/>
    <w:rsid w:val="00BB778D"/>
    <w:rsid w:val="00BD5362"/>
    <w:rsid w:val="00BD708F"/>
    <w:rsid w:val="00BE12E4"/>
    <w:rsid w:val="00BE1D99"/>
    <w:rsid w:val="00BE24E9"/>
    <w:rsid w:val="00BE2D23"/>
    <w:rsid w:val="00BF7AB3"/>
    <w:rsid w:val="00C00FA9"/>
    <w:rsid w:val="00C01A94"/>
    <w:rsid w:val="00C0533E"/>
    <w:rsid w:val="00C07871"/>
    <w:rsid w:val="00C10756"/>
    <w:rsid w:val="00C13CC9"/>
    <w:rsid w:val="00C161D7"/>
    <w:rsid w:val="00C31C09"/>
    <w:rsid w:val="00C407B5"/>
    <w:rsid w:val="00C4231E"/>
    <w:rsid w:val="00C5425F"/>
    <w:rsid w:val="00C548C7"/>
    <w:rsid w:val="00C56028"/>
    <w:rsid w:val="00C67E60"/>
    <w:rsid w:val="00C90A7A"/>
    <w:rsid w:val="00C92257"/>
    <w:rsid w:val="00C93DD7"/>
    <w:rsid w:val="00CC0281"/>
    <w:rsid w:val="00CD1DF7"/>
    <w:rsid w:val="00CD39CE"/>
    <w:rsid w:val="00CD3DEE"/>
    <w:rsid w:val="00CD50D2"/>
    <w:rsid w:val="00CD5B7E"/>
    <w:rsid w:val="00CF7867"/>
    <w:rsid w:val="00D12816"/>
    <w:rsid w:val="00D15348"/>
    <w:rsid w:val="00D23342"/>
    <w:rsid w:val="00D34972"/>
    <w:rsid w:val="00D36146"/>
    <w:rsid w:val="00D413B2"/>
    <w:rsid w:val="00D45567"/>
    <w:rsid w:val="00D45FA8"/>
    <w:rsid w:val="00D47F69"/>
    <w:rsid w:val="00D529CC"/>
    <w:rsid w:val="00D549B5"/>
    <w:rsid w:val="00D55582"/>
    <w:rsid w:val="00D55E2B"/>
    <w:rsid w:val="00D570C6"/>
    <w:rsid w:val="00D621E1"/>
    <w:rsid w:val="00D62810"/>
    <w:rsid w:val="00D70599"/>
    <w:rsid w:val="00D95149"/>
    <w:rsid w:val="00DA1CF3"/>
    <w:rsid w:val="00DA5557"/>
    <w:rsid w:val="00DB15A7"/>
    <w:rsid w:val="00DB2CBA"/>
    <w:rsid w:val="00DC5BEC"/>
    <w:rsid w:val="00DD30D6"/>
    <w:rsid w:val="00DE1539"/>
    <w:rsid w:val="00DF5219"/>
    <w:rsid w:val="00DF65BA"/>
    <w:rsid w:val="00E040B0"/>
    <w:rsid w:val="00E112A4"/>
    <w:rsid w:val="00E131FA"/>
    <w:rsid w:val="00E3563C"/>
    <w:rsid w:val="00E4325B"/>
    <w:rsid w:val="00E463E8"/>
    <w:rsid w:val="00E46F41"/>
    <w:rsid w:val="00E517D7"/>
    <w:rsid w:val="00E556B6"/>
    <w:rsid w:val="00E55F68"/>
    <w:rsid w:val="00E71E01"/>
    <w:rsid w:val="00E7717D"/>
    <w:rsid w:val="00E80833"/>
    <w:rsid w:val="00E85A82"/>
    <w:rsid w:val="00E9198D"/>
    <w:rsid w:val="00E91FF1"/>
    <w:rsid w:val="00E947C1"/>
    <w:rsid w:val="00E94FC6"/>
    <w:rsid w:val="00EA3C48"/>
    <w:rsid w:val="00EA467D"/>
    <w:rsid w:val="00EA5F43"/>
    <w:rsid w:val="00EB5528"/>
    <w:rsid w:val="00EB75FA"/>
    <w:rsid w:val="00EC346B"/>
    <w:rsid w:val="00EC5015"/>
    <w:rsid w:val="00ED1C2C"/>
    <w:rsid w:val="00ED3B74"/>
    <w:rsid w:val="00F001B6"/>
    <w:rsid w:val="00F06480"/>
    <w:rsid w:val="00F07CF5"/>
    <w:rsid w:val="00F20F07"/>
    <w:rsid w:val="00F23210"/>
    <w:rsid w:val="00F23B2F"/>
    <w:rsid w:val="00F26421"/>
    <w:rsid w:val="00F40211"/>
    <w:rsid w:val="00F54F44"/>
    <w:rsid w:val="00F62843"/>
    <w:rsid w:val="00F65DF1"/>
    <w:rsid w:val="00F66758"/>
    <w:rsid w:val="00F776D6"/>
    <w:rsid w:val="00F814FC"/>
    <w:rsid w:val="00F822AA"/>
    <w:rsid w:val="00F84C64"/>
    <w:rsid w:val="00F949CA"/>
    <w:rsid w:val="00FA0367"/>
    <w:rsid w:val="00FA1857"/>
    <w:rsid w:val="00FA62DB"/>
    <w:rsid w:val="00FB215F"/>
    <w:rsid w:val="00FB7555"/>
    <w:rsid w:val="00FC4042"/>
    <w:rsid w:val="00FE2ED7"/>
    <w:rsid w:val="00FE3140"/>
    <w:rsid w:val="00FF7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32"/>
    <w:rPr>
      <w:rFonts w:eastAsiaTheme="minorEastAsia"/>
      <w:lang w:val="en-US" w:eastAsia="zh-CN"/>
    </w:rPr>
  </w:style>
  <w:style w:type="paragraph" w:styleId="Heading1">
    <w:name w:val="heading 1"/>
    <w:basedOn w:val="Normal"/>
    <w:link w:val="Heading1Char"/>
    <w:uiPriority w:val="9"/>
    <w:qFormat/>
    <w:rsid w:val="002E5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3">
    <w:name w:val="heading 3"/>
    <w:basedOn w:val="Normal"/>
    <w:next w:val="Normal"/>
    <w:link w:val="Heading3Char"/>
    <w:uiPriority w:val="9"/>
    <w:semiHidden/>
    <w:unhideWhenUsed/>
    <w:qFormat/>
    <w:rsid w:val="00D621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732"/>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2E573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732"/>
    <w:pPr>
      <w:ind w:left="720"/>
      <w:contextualSpacing/>
    </w:pPr>
    <w:rPr>
      <w:rFonts w:eastAsiaTheme="minorHAnsi"/>
      <w:lang w:val="id-ID" w:eastAsia="en-US"/>
    </w:rPr>
  </w:style>
  <w:style w:type="character" w:customStyle="1" w:styleId="ListParagraphChar">
    <w:name w:val="List Paragraph Char"/>
    <w:link w:val="ListParagraph"/>
    <w:uiPriority w:val="34"/>
    <w:rsid w:val="002E5732"/>
  </w:style>
  <w:style w:type="paragraph" w:customStyle="1" w:styleId="Default">
    <w:name w:val="Default"/>
    <w:rsid w:val="002E5732"/>
    <w:pPr>
      <w:autoSpaceDE w:val="0"/>
      <w:autoSpaceDN w:val="0"/>
      <w:adjustRightInd w:val="0"/>
      <w:spacing w:after="0" w:line="240" w:lineRule="auto"/>
    </w:pPr>
    <w:rPr>
      <w:rFonts w:ascii="Cambria" w:hAnsi="Cambria" w:cs="Cambria"/>
      <w:color w:val="000000"/>
      <w:sz w:val="24"/>
      <w:szCs w:val="24"/>
    </w:rPr>
  </w:style>
  <w:style w:type="paragraph" w:styleId="Footer">
    <w:name w:val="footer"/>
    <w:basedOn w:val="Normal"/>
    <w:link w:val="FooterChar"/>
    <w:uiPriority w:val="99"/>
    <w:unhideWhenUsed/>
    <w:qFormat/>
    <w:rsid w:val="002E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32"/>
    <w:rPr>
      <w:rFonts w:eastAsiaTheme="minorEastAsia"/>
      <w:lang w:val="en-US" w:eastAsia="zh-CN"/>
    </w:rPr>
  </w:style>
  <w:style w:type="character" w:styleId="Hyperlink">
    <w:name w:val="Hyperlink"/>
    <w:basedOn w:val="DefaultParagraphFont"/>
    <w:uiPriority w:val="99"/>
    <w:unhideWhenUsed/>
    <w:rsid w:val="002E5732"/>
    <w:rPr>
      <w:color w:val="0000FF"/>
      <w:u w:val="single"/>
    </w:rPr>
  </w:style>
  <w:style w:type="character" w:styleId="Emphasis">
    <w:name w:val="Emphasis"/>
    <w:basedOn w:val="DefaultParagraphFont"/>
    <w:uiPriority w:val="20"/>
    <w:qFormat/>
    <w:rsid w:val="002E5732"/>
    <w:rPr>
      <w:i/>
      <w:iCs/>
    </w:rPr>
  </w:style>
  <w:style w:type="character" w:styleId="Strong">
    <w:name w:val="Strong"/>
    <w:basedOn w:val="DefaultParagraphFont"/>
    <w:uiPriority w:val="22"/>
    <w:qFormat/>
    <w:rsid w:val="002E5732"/>
    <w:rPr>
      <w:b/>
      <w:bCs/>
    </w:rPr>
  </w:style>
  <w:style w:type="character" w:styleId="CommentReference">
    <w:name w:val="annotation reference"/>
    <w:basedOn w:val="DefaultParagraphFont"/>
    <w:uiPriority w:val="99"/>
    <w:semiHidden/>
    <w:unhideWhenUsed/>
    <w:rsid w:val="002E5732"/>
    <w:rPr>
      <w:sz w:val="16"/>
      <w:szCs w:val="16"/>
    </w:rPr>
  </w:style>
  <w:style w:type="paragraph" w:styleId="CommentText">
    <w:name w:val="annotation text"/>
    <w:basedOn w:val="Normal"/>
    <w:link w:val="CommentTextChar"/>
    <w:uiPriority w:val="99"/>
    <w:semiHidden/>
    <w:unhideWhenUsed/>
    <w:rsid w:val="002E5732"/>
    <w:pPr>
      <w:spacing w:line="240" w:lineRule="auto"/>
    </w:pPr>
    <w:rPr>
      <w:sz w:val="20"/>
      <w:szCs w:val="20"/>
    </w:rPr>
  </w:style>
  <w:style w:type="character" w:customStyle="1" w:styleId="CommentTextChar">
    <w:name w:val="Comment Text Char"/>
    <w:basedOn w:val="DefaultParagraphFont"/>
    <w:link w:val="CommentText"/>
    <w:uiPriority w:val="99"/>
    <w:semiHidden/>
    <w:rsid w:val="002E5732"/>
    <w:rPr>
      <w:rFonts w:eastAsiaTheme="minorEastAsia"/>
      <w:sz w:val="20"/>
      <w:szCs w:val="20"/>
      <w:lang w:val="en-US" w:eastAsia="zh-CN"/>
    </w:rPr>
  </w:style>
  <w:style w:type="paragraph" w:styleId="BalloonText">
    <w:name w:val="Balloon Text"/>
    <w:basedOn w:val="Normal"/>
    <w:link w:val="BalloonTextChar"/>
    <w:uiPriority w:val="99"/>
    <w:semiHidden/>
    <w:unhideWhenUsed/>
    <w:rsid w:val="002E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32"/>
    <w:rPr>
      <w:rFonts w:ascii="Tahoma" w:eastAsiaTheme="minorEastAsia" w:hAnsi="Tahoma" w:cs="Tahoma"/>
      <w:sz w:val="16"/>
      <w:szCs w:val="16"/>
      <w:lang w:val="en-US" w:eastAsia="zh-CN"/>
    </w:rPr>
  </w:style>
  <w:style w:type="paragraph" w:styleId="Header">
    <w:name w:val="header"/>
    <w:basedOn w:val="Normal"/>
    <w:link w:val="HeaderChar"/>
    <w:uiPriority w:val="99"/>
    <w:unhideWhenUsed/>
    <w:rsid w:val="00AD3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A66"/>
    <w:rPr>
      <w:rFonts w:eastAsiaTheme="minorEastAsia"/>
      <w:lang w:val="en-US" w:eastAsia="zh-CN"/>
    </w:rPr>
  </w:style>
  <w:style w:type="character" w:customStyle="1" w:styleId="Heading3Char">
    <w:name w:val="Heading 3 Char"/>
    <w:basedOn w:val="DefaultParagraphFont"/>
    <w:link w:val="Heading3"/>
    <w:uiPriority w:val="9"/>
    <w:semiHidden/>
    <w:rsid w:val="00D621E1"/>
    <w:rPr>
      <w:rFonts w:asciiTheme="majorHAnsi" w:eastAsiaTheme="majorEastAsia" w:hAnsiTheme="majorHAnsi" w:cstheme="majorBidi"/>
      <w:color w:val="1F3763" w:themeColor="accent1" w:themeShade="7F"/>
      <w:sz w:val="24"/>
      <w:szCs w:val="24"/>
      <w:lang w:val="en-US" w:eastAsia="zh-CN"/>
    </w:rPr>
  </w:style>
  <w:style w:type="character" w:customStyle="1" w:styleId="UnresolvedMention1">
    <w:name w:val="Unresolved Mention1"/>
    <w:basedOn w:val="DefaultParagraphFont"/>
    <w:uiPriority w:val="99"/>
    <w:semiHidden/>
    <w:unhideWhenUsed/>
    <w:rsid w:val="00756C2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47F69"/>
    <w:rPr>
      <w:b/>
      <w:bCs/>
    </w:rPr>
  </w:style>
  <w:style w:type="character" w:customStyle="1" w:styleId="CommentSubjectChar">
    <w:name w:val="Comment Subject Char"/>
    <w:basedOn w:val="CommentTextChar"/>
    <w:link w:val="CommentSubject"/>
    <w:uiPriority w:val="99"/>
    <w:semiHidden/>
    <w:rsid w:val="00D47F69"/>
    <w:rPr>
      <w:rFonts w:eastAsiaTheme="minorEastAsia"/>
      <w:b/>
      <w:bCs/>
      <w:sz w:val="20"/>
      <w:szCs w:val="20"/>
      <w:lang w:val="en-US" w:eastAsia="zh-CN"/>
    </w:rPr>
  </w:style>
  <w:style w:type="character" w:customStyle="1" w:styleId="UnresolvedMention">
    <w:name w:val="Unresolved Mention"/>
    <w:basedOn w:val="DefaultParagraphFont"/>
    <w:uiPriority w:val="99"/>
    <w:semiHidden/>
    <w:unhideWhenUsed/>
    <w:rsid w:val="00542BD9"/>
    <w:rPr>
      <w:color w:val="605E5C"/>
      <w:shd w:val="clear" w:color="auto" w:fill="E1DFDD"/>
    </w:rPr>
  </w:style>
  <w:style w:type="character" w:styleId="FollowedHyperlink">
    <w:name w:val="FollowedHyperlink"/>
    <w:basedOn w:val="DefaultParagraphFont"/>
    <w:uiPriority w:val="99"/>
    <w:semiHidden/>
    <w:unhideWhenUsed/>
    <w:rsid w:val="0094423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15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2AD7-3876-4389-BFBC-3AB1D9CD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6</Pages>
  <Words>7379</Words>
  <Characters>42061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Yuliansyah</dc:creator>
  <cp:lastModifiedBy>Asus</cp:lastModifiedBy>
  <cp:revision>28</cp:revision>
  <cp:lastPrinted>2020-10-06T03:29:00Z</cp:lastPrinted>
  <dcterms:created xsi:type="dcterms:W3CDTF">2020-10-06T03:06:00Z</dcterms:created>
  <dcterms:modified xsi:type="dcterms:W3CDTF">2020-10-12T09:29:00Z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9466b063-6a3f-3221-9865-bd389808ad6b</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