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A8" w:rsidRDefault="00C706F3">
      <w:pPr>
        <w:pStyle w:val="Badan"/>
        <w:keepNext/>
        <w:keepLines/>
        <w:tabs>
          <w:tab w:val="left" w:pos="284"/>
        </w:tabs>
        <w:spacing w:after="460"/>
        <w:jc w:val="center"/>
        <w:rPr>
          <w:sz w:val="32"/>
          <w:szCs w:val="32"/>
        </w:rPr>
      </w:pPr>
      <w:r>
        <w:rPr>
          <w:b/>
          <w:bCs/>
          <w:sz w:val="32"/>
          <w:szCs w:val="32"/>
        </w:rPr>
        <w:t>Resettlement Policy for Communities Affected by Natural Disaster in South Lampung Regency</w:t>
      </w:r>
    </w:p>
    <w:p w:rsidR="005A29A8" w:rsidRDefault="00C706F3">
      <w:pPr>
        <w:pStyle w:val="Badan"/>
        <w:ind w:firstLine="227"/>
        <w:jc w:val="center"/>
      </w:pPr>
      <w:proofErr w:type="spellStart"/>
      <w:r>
        <w:t>Thio</w:t>
      </w:r>
      <w:proofErr w:type="spellEnd"/>
      <w:r>
        <w:t xml:space="preserve"> </w:t>
      </w:r>
      <w:proofErr w:type="spellStart"/>
      <w:r>
        <w:t>Haikal</w:t>
      </w:r>
      <w:proofErr w:type="spellEnd"/>
      <w:r>
        <w:t xml:space="preserve"> Anugerah</w:t>
      </w:r>
      <w:r w:rsidR="00A31D59">
        <w:rPr>
          <w:vertAlign w:val="superscript"/>
        </w:rPr>
        <w:t>1</w:t>
      </w:r>
      <w:r>
        <w:t>, Muhammad Akib</w:t>
      </w:r>
      <w:r w:rsidR="00A31D59">
        <w:rPr>
          <w:vertAlign w:val="superscript"/>
        </w:rPr>
        <w:t>2</w:t>
      </w:r>
      <w:r>
        <w:rPr>
          <w:lang w:val="fr-FR"/>
        </w:rPr>
        <w:t>, H.S. Tisnanta</w:t>
      </w:r>
      <w:r>
        <w:rPr>
          <w:vertAlign w:val="superscript"/>
          <w:lang w:val="fr-FR"/>
        </w:rPr>
        <w:t>3</w:t>
      </w:r>
      <w:r>
        <w:rPr>
          <w:lang w:val="fr-FR"/>
        </w:rPr>
        <w:t xml:space="preserve"> </w:t>
      </w:r>
    </w:p>
    <w:p w:rsidR="005A29A8" w:rsidRDefault="00A577A9" w:rsidP="00A577A9">
      <w:pPr>
        <w:pStyle w:val="Badan"/>
        <w:ind w:left="426"/>
      </w:pPr>
      <w:hyperlink r:id="rId7" w:history="1">
        <w:r w:rsidRPr="00A73192">
          <w:rPr>
            <w:rStyle w:val="Hyperlink"/>
            <w:sz w:val="18"/>
            <w:szCs w:val="18"/>
          </w:rPr>
          <w:t>{t</w:t>
        </w:r>
        <w:bookmarkStart w:id="0" w:name="_GoBack"/>
        <w:bookmarkEnd w:id="0"/>
        <w:r w:rsidRPr="00A73192">
          <w:rPr>
            <w:rStyle w:val="Hyperlink"/>
            <w:sz w:val="18"/>
            <w:szCs w:val="18"/>
          </w:rPr>
          <w:t>hio.haikal97@gmail.com</w:t>
        </w:r>
        <w:r w:rsidRPr="00A577A9">
          <w:rPr>
            <w:rStyle w:val="Hyperlink"/>
            <w:sz w:val="18"/>
            <w:szCs w:val="18"/>
            <w:vertAlign w:val="superscript"/>
          </w:rPr>
          <w:t>1</w:t>
        </w:r>
      </w:hyperlink>
      <w:r>
        <w:rPr>
          <w:sz w:val="18"/>
          <w:szCs w:val="18"/>
        </w:rPr>
        <w:t xml:space="preserve"> </w:t>
      </w:r>
      <w:hyperlink r:id="rId8" w:history="1">
        <w:r w:rsidRPr="00A73192">
          <w:rPr>
            <w:rStyle w:val="Hyperlink"/>
            <w:sz w:val="18"/>
            <w:szCs w:val="18"/>
          </w:rPr>
          <w:t>akib97@yahoo.co.id</w:t>
        </w:r>
        <w:r w:rsidRPr="00A577A9">
          <w:rPr>
            <w:rStyle w:val="Hyperlink"/>
            <w:sz w:val="18"/>
            <w:szCs w:val="18"/>
            <w:vertAlign w:val="superscript"/>
          </w:rPr>
          <w:t>2</w:t>
        </w:r>
      </w:hyperlink>
      <w:r>
        <w:rPr>
          <w:sz w:val="18"/>
          <w:szCs w:val="18"/>
        </w:rPr>
        <w:t xml:space="preserve"> </w:t>
      </w:r>
      <w:proofErr w:type="spellStart"/>
      <w:r w:rsidRPr="00A577A9">
        <w:rPr>
          <w:rFonts w:cs="Times New Roman"/>
          <w:bCs/>
          <w:color w:val="auto"/>
          <w:sz w:val="18"/>
          <w:szCs w:val="18"/>
        </w:rPr>
        <w:t>eronymus.soerjatisnanta</w:t>
      </w:r>
      <w:proofErr w:type="spellEnd"/>
      <w:r w:rsidRPr="00A577A9">
        <w:rPr>
          <w:rFonts w:cs="Times New Roman"/>
          <w:bCs/>
          <w:color w:val="auto"/>
          <w:sz w:val="18"/>
          <w:szCs w:val="18"/>
          <w:lang w:val="id-ID"/>
        </w:rPr>
        <w:t>@</w:t>
      </w:r>
      <w:r w:rsidRPr="00A577A9">
        <w:rPr>
          <w:rFonts w:cs="Times New Roman"/>
          <w:bCs/>
          <w:color w:val="auto"/>
          <w:sz w:val="18"/>
          <w:szCs w:val="18"/>
        </w:rPr>
        <w:t>fh.unila.ac.id</w:t>
      </w:r>
      <w:r w:rsidR="00C706F3" w:rsidRPr="00A577A9">
        <w:rPr>
          <w:sz w:val="18"/>
          <w:szCs w:val="18"/>
          <w:vertAlign w:val="superscript"/>
        </w:rPr>
        <w:t>3</w:t>
      </w:r>
      <w:r w:rsidR="00A31D59">
        <w:rPr>
          <w:sz w:val="18"/>
          <w:szCs w:val="18"/>
        </w:rPr>
        <w:t>}</w:t>
      </w:r>
    </w:p>
    <w:p w:rsidR="005A29A8" w:rsidRDefault="005A29A8" w:rsidP="00F154ED">
      <w:pPr>
        <w:pStyle w:val="Badan"/>
        <w:ind w:firstLine="227"/>
        <w:jc w:val="center"/>
      </w:pPr>
    </w:p>
    <w:p w:rsidR="005A29A8" w:rsidRPr="00C706F3" w:rsidRDefault="00C706F3" w:rsidP="00F154ED">
      <w:pPr>
        <w:pStyle w:val="Badan"/>
        <w:ind w:firstLine="227"/>
        <w:jc w:val="center"/>
        <w:rPr>
          <w:vertAlign w:val="superscript"/>
        </w:rPr>
      </w:pPr>
      <w:r>
        <w:rPr>
          <w:sz w:val="18"/>
          <w:szCs w:val="18"/>
        </w:rPr>
        <w:t>Lampung University, Faculty of Law</w:t>
      </w:r>
      <w:r w:rsidR="00A31D59">
        <w:rPr>
          <w:sz w:val="18"/>
          <w:szCs w:val="18"/>
          <w:vertAlign w:val="superscript"/>
        </w:rPr>
        <w:t>12</w:t>
      </w:r>
      <w:r>
        <w:rPr>
          <w:sz w:val="18"/>
          <w:szCs w:val="18"/>
          <w:vertAlign w:val="superscript"/>
        </w:rPr>
        <w:t>3</w:t>
      </w:r>
    </w:p>
    <w:p w:rsidR="00B7126F" w:rsidRPr="00B7126F" w:rsidRDefault="00A31D59" w:rsidP="00B7126F">
      <w:pPr>
        <w:pStyle w:val="Badan"/>
        <w:spacing w:before="400" w:after="120"/>
        <w:ind w:left="567" w:right="567"/>
        <w:jc w:val="both"/>
        <w:rPr>
          <w:sz w:val="18"/>
          <w:szCs w:val="18"/>
        </w:rPr>
      </w:pPr>
      <w:r>
        <w:rPr>
          <w:b/>
          <w:bCs/>
          <w:sz w:val="18"/>
          <w:szCs w:val="18"/>
        </w:rPr>
        <w:t>Abstract.</w:t>
      </w:r>
      <w:r>
        <w:rPr>
          <w:sz w:val="18"/>
          <w:szCs w:val="18"/>
        </w:rPr>
        <w:t xml:space="preserve"> </w:t>
      </w:r>
      <w:r w:rsidR="00B7126F" w:rsidRPr="00B7126F">
        <w:rPr>
          <w:rFonts w:eastAsia="Times New Roman" w:cs="Times New Roman"/>
          <w:bCs/>
          <w:iCs/>
          <w:sz w:val="18"/>
          <w:szCs w:val="18"/>
        </w:rPr>
        <w:t>Resettlement in the context of disaster management is a policy that has a broad impact on the affected community on legal, social and economic aspects. This article focuses on problems in implementing the resettlement policy for victims of the tsunami in South Lampung which occurred in December 2018. By using the socio-legal approach, the results of the study indicate that the resettlement policy for communities affected by the tsunami in South Lampung was carried out based on the Regent Decree No. B/613.1/VI.02/HK/2019. This policy was carried out as an effort to recover from the tsunami that occurred. In its implementation, this policy has an impact on at least three aspects of the life of the community concerned, namely the legal impact, social impact and economic impact both before, during the process, and after the construction of new housing.</w:t>
      </w:r>
    </w:p>
    <w:p w:rsidR="005A29A8" w:rsidRDefault="00A31D59" w:rsidP="00B7126F">
      <w:pPr>
        <w:pStyle w:val="Badan"/>
        <w:spacing w:before="400" w:after="120"/>
        <w:ind w:left="567" w:right="567"/>
        <w:jc w:val="both"/>
      </w:pPr>
      <w:r>
        <w:rPr>
          <w:b/>
          <w:bCs/>
          <w:sz w:val="18"/>
          <w:szCs w:val="18"/>
        </w:rPr>
        <w:t xml:space="preserve">Keywords: </w:t>
      </w:r>
      <w:r w:rsidR="00B7126F">
        <w:rPr>
          <w:sz w:val="18"/>
          <w:szCs w:val="18"/>
        </w:rPr>
        <w:t>Resettlement, Natural Disaster, South Lampung</w:t>
      </w:r>
    </w:p>
    <w:p w:rsidR="005A29A8" w:rsidRDefault="00A31D59">
      <w:pPr>
        <w:pStyle w:val="Badan"/>
        <w:keepNext/>
        <w:keepLines/>
        <w:tabs>
          <w:tab w:val="left" w:pos="454"/>
        </w:tabs>
        <w:spacing w:before="520" w:after="280"/>
        <w:jc w:val="both"/>
      </w:pPr>
      <w:r>
        <w:rPr>
          <w:b/>
          <w:bCs/>
          <w:sz w:val="24"/>
          <w:szCs w:val="24"/>
          <w:lang w:val="fr-FR"/>
        </w:rPr>
        <w:t>1   Introduction</w:t>
      </w:r>
    </w:p>
    <w:p w:rsidR="00B7126F" w:rsidRDefault="00B7126F" w:rsidP="00C958E6">
      <w:pPr>
        <w:pStyle w:val="Badan"/>
        <w:ind w:firstLine="360"/>
        <w:jc w:val="both"/>
        <w:rPr>
          <w:rFonts w:cs="Times New Roman"/>
          <w:shd w:val="clear" w:color="auto" w:fill="FFFFFF"/>
        </w:rPr>
      </w:pPr>
      <w:r w:rsidRPr="00B7126F">
        <w:rPr>
          <w:rFonts w:cs="Times New Roman"/>
          <w:shd w:val="clear" w:color="auto" w:fill="FFFFFF"/>
        </w:rPr>
        <w:t xml:space="preserve">The </w:t>
      </w:r>
      <w:proofErr w:type="spellStart"/>
      <w:r w:rsidRPr="00B7126F">
        <w:rPr>
          <w:rFonts w:cs="Times New Roman"/>
          <w:shd w:val="clear" w:color="auto" w:fill="FFFFFF"/>
        </w:rPr>
        <w:t>Sunda</w:t>
      </w:r>
      <w:proofErr w:type="spellEnd"/>
      <w:r w:rsidRPr="00B7126F">
        <w:rPr>
          <w:rFonts w:cs="Times New Roman"/>
          <w:shd w:val="clear" w:color="auto" w:fill="FFFFFF"/>
        </w:rPr>
        <w:t xml:space="preserve"> Strait Tsunami disaster that occurred at the end of 2018 has left enormous grief and loss for the Indonesian people. According to Eduardo Rodriguez-</w:t>
      </w:r>
      <w:proofErr w:type="spellStart"/>
      <w:r w:rsidRPr="00B7126F">
        <w:rPr>
          <w:rFonts w:cs="Times New Roman"/>
          <w:shd w:val="clear" w:color="auto" w:fill="FFFFFF"/>
        </w:rPr>
        <w:t>Oreggia</w:t>
      </w:r>
      <w:proofErr w:type="spellEnd"/>
      <w:r w:rsidRPr="00B7126F">
        <w:rPr>
          <w:rFonts w:cs="Times New Roman"/>
          <w:shd w:val="clear" w:color="auto" w:fill="FFFFFF"/>
        </w:rPr>
        <w:t>, natural disasters have an impact on two things, namely physical impacts and social impacts.</w:t>
      </w:r>
      <w:r w:rsidR="002B0946">
        <w:rPr>
          <w:rFonts w:cs="Times New Roman"/>
          <w:shd w:val="clear" w:color="auto" w:fill="FFFFFF"/>
        </w:rPr>
        <w:fldChar w:fldCharType="begin" w:fldLock="1"/>
      </w:r>
      <w:r w:rsidR="002B0946">
        <w:rPr>
          <w:rFonts w:cs="Times New Roman"/>
          <w:shd w:val="clear" w:color="auto" w:fill="FFFFFF"/>
        </w:rPr>
        <w:instrText>ADDIN CSL_CITATION {"citationItems":[{"id":"ITEM-1","itemData":{"DOI":"10.1080/00220388.2012.700398","ISSN":"00220388","abstract":"This article analyses the effects of natural disasters on human development and poverty levels at the municipal level in Mexico. Using several sources, we build a panel of data in order to uncover if different natural shocks can affect social indicators. After controlling for geographic and natural characteristics which can make municipalities more hazard prone, as well as for other institutional, socio-economic and demographic pre-shock characteristics, in addition to using fixed effects, we find that general shocks, especially from floods and droughts, lead to significant drops in both types of indicator. © 2013 Copyright Taylor and Francis Group, LLC.","author":[{"dropping-particle":"","family":"Rodriguez-Oreggia","given":"Eduardo","non-dropping-particle":"","parse-names":false,"suffix":""},{"dropping-particle":"","family":"la Fuente","given":"Alejandro","non-dropping-particle":"de","parse-names":false,"suffix":""},{"dropping-particle":"","family":"la Torre","given":"Rodolfo","non-dropping-particle":"de","parse-names":false,"suffix":""},{"dropping-particle":"","family":"Moreno","given":"Hector A.","non-dropping-particle":"","parse-names":false,"suffix":""}],"container-title":"Journal of Development Studies","id":"ITEM-1","issued":{"date-parts":[["2013"]]},"title":"Natural Disasters, Human Development and Poverty at the Municipal Level in Mexico","type":"article-journal"},"uris":["http://www.mendeley.com/documents/?uuid=5f01dcf1-49da-4086-808c-94f59b117069"]}],"mendeley":{"formattedCitation":"[1]","plainTextFormattedCitation":"[1]","previouslyFormattedCitation":"[1]"},"properties":{"noteIndex":0},"schema":"https://github.com/citation-style-language/schema/raw/master/csl-citation.json"}</w:instrText>
      </w:r>
      <w:r w:rsidR="002B0946">
        <w:rPr>
          <w:rFonts w:cs="Times New Roman"/>
          <w:shd w:val="clear" w:color="auto" w:fill="FFFFFF"/>
        </w:rPr>
        <w:fldChar w:fldCharType="separate"/>
      </w:r>
      <w:r w:rsidR="002B0946" w:rsidRPr="002B0946">
        <w:rPr>
          <w:rFonts w:cs="Times New Roman"/>
          <w:noProof/>
          <w:shd w:val="clear" w:color="auto" w:fill="FFFFFF"/>
        </w:rPr>
        <w:t>[1]</w:t>
      </w:r>
      <w:r w:rsidR="002B0946">
        <w:rPr>
          <w:rFonts w:cs="Times New Roman"/>
          <w:shd w:val="clear" w:color="auto" w:fill="FFFFFF"/>
        </w:rPr>
        <w:fldChar w:fldCharType="end"/>
      </w:r>
      <w:r w:rsidRPr="00B7126F">
        <w:rPr>
          <w:rFonts w:cs="Times New Roman"/>
          <w:shd w:val="clear" w:color="auto" w:fill="FFFFFF"/>
        </w:rPr>
        <w:t xml:space="preserve"> He further said that there is a positive correlation between natural disasters and increased socio-economic vulnerability in a family or community, where this vulnerability ultimately makes the recovery process for the disaster even more difficult. In the tsunami disaster in South Lampung, it was recorded that at least 426 people died, 7,202 were injured, and 23 people were declared missing.</w:t>
      </w:r>
      <w:r w:rsidR="00061357">
        <w:rPr>
          <w:rFonts w:cs="Times New Roman"/>
          <w:shd w:val="clear" w:color="auto" w:fill="FFFFFF"/>
        </w:rPr>
        <w:fldChar w:fldCharType="begin" w:fldLock="1"/>
      </w:r>
      <w:r w:rsidR="002B0946">
        <w:rPr>
          <w:rFonts w:cs="Times New Roman"/>
          <w:shd w:val="clear" w:color="auto" w:fill="FFFFFF"/>
        </w:rPr>
        <w:instrText>ADDIN CSL_CITATION {"citationItems":[{"id":"ITEM-1","itemData":{"URL":"https://nasional.kompas.com/read/2018/12/28/15102481/update-tsunami-selat-sunda-426-orang-meninggal-dunia-7202-luka-luka-dan-23","accessed":{"date-parts":[["2020","6","25"]]},"id":"ITEM-1","issued":{"date-parts":[["2018"]]},"title":"Update Tsunami Selat Sunda 426 orang Meninggal Dunia, 7202 luka-luka","type":"webpage"},"uris":["http://www.mendeley.com/documents/?uuid=cf4631f6-9960-4df5-b5d9-154c8f67808c"]}],"mendeley":{"formattedCitation":"[2]","plainTextFormattedCitation":"[2]","previouslyFormattedCitation":"[2]"},"properties":{"noteIndex":0},"schema":"https://github.com/citation-style-language/schema/raw/master/csl-citation.json"}</w:instrText>
      </w:r>
      <w:r w:rsidR="00061357">
        <w:rPr>
          <w:rFonts w:cs="Times New Roman"/>
          <w:shd w:val="clear" w:color="auto" w:fill="FFFFFF"/>
        </w:rPr>
        <w:fldChar w:fldCharType="separate"/>
      </w:r>
      <w:r w:rsidR="002B0946" w:rsidRPr="002B0946">
        <w:rPr>
          <w:rFonts w:cs="Times New Roman"/>
          <w:noProof/>
          <w:shd w:val="clear" w:color="auto" w:fill="FFFFFF"/>
        </w:rPr>
        <w:t>[2]</w:t>
      </w:r>
      <w:r w:rsidR="00061357">
        <w:rPr>
          <w:rFonts w:cs="Times New Roman"/>
          <w:shd w:val="clear" w:color="auto" w:fill="FFFFFF"/>
        </w:rPr>
        <w:fldChar w:fldCharType="end"/>
      </w:r>
      <w:r w:rsidRPr="00B7126F">
        <w:rPr>
          <w:rFonts w:cs="Times New Roman"/>
          <w:shd w:val="clear" w:color="auto" w:fill="FFFFFF"/>
        </w:rPr>
        <w:t xml:space="preserve"> From an economic perspective, the tsunami disaster caused losses of more than 200 billion rupiah.</w:t>
      </w:r>
      <w:r w:rsidR="00C958E6">
        <w:rPr>
          <w:rFonts w:cs="Times New Roman"/>
          <w:shd w:val="clear" w:color="auto" w:fill="FFFFFF"/>
        </w:rPr>
        <w:fldChar w:fldCharType="begin" w:fldLock="1"/>
      </w:r>
      <w:r w:rsidR="00C958E6">
        <w:rPr>
          <w:rFonts w:cs="Times New Roman"/>
          <w:shd w:val="clear" w:color="auto" w:fill="FFFFFF"/>
        </w:rPr>
        <w:instrText>ADDIN CSL_CITATION {"citationItems":[{"id":"ITEM-1","itemData":{"URL":"https://www.tribunnews.com/regional/2019/01/16/berdasarkan-hitungan-sementara-kerugian-akibat-tsunami-selat-sunda-capai-rp-202-m","accessed":{"date-parts":[["2020","6","25"]]},"id":"ITEM-1","issued":{"date-parts":[["2019"]]},"title":"Hitungan Sementara Kerugian Akibat Tsunami Selat Sunda Capai Rp.202 M","type":"webpage"},"uris":["http://www.mendeley.com/documents/?uuid=0a922bc2-e5a6-405f-babf-e19a892f7e96"]}],"mendeley":{"formattedCitation":"[3]","plainTextFormattedCitation":"[3]","previouslyFormattedCitation":"[3]"},"properties":{"noteIndex":0},"schema":"https://github.com/citation-style-language/schema/raw/master/csl-citation.json"}</w:instrText>
      </w:r>
      <w:r w:rsidR="00C958E6">
        <w:rPr>
          <w:rFonts w:cs="Times New Roman"/>
          <w:shd w:val="clear" w:color="auto" w:fill="FFFFFF"/>
        </w:rPr>
        <w:fldChar w:fldCharType="separate"/>
      </w:r>
      <w:r w:rsidR="00C958E6" w:rsidRPr="00C958E6">
        <w:rPr>
          <w:rFonts w:cs="Times New Roman"/>
          <w:noProof/>
          <w:shd w:val="clear" w:color="auto" w:fill="FFFFFF"/>
        </w:rPr>
        <w:t>[3]</w:t>
      </w:r>
      <w:r w:rsidR="00C958E6">
        <w:rPr>
          <w:rFonts w:cs="Times New Roman"/>
          <w:shd w:val="clear" w:color="auto" w:fill="FFFFFF"/>
        </w:rPr>
        <w:fldChar w:fldCharType="end"/>
      </w:r>
      <w:r w:rsidRPr="00B7126F">
        <w:rPr>
          <w:rFonts w:cs="Times New Roman"/>
          <w:shd w:val="clear" w:color="auto" w:fill="FFFFFF"/>
        </w:rPr>
        <w:t xml:space="preserve"> Responding to this problem, the government as a stakeholder should take action in order to minimize potential losses due to this natural disaster.</w:t>
      </w:r>
    </w:p>
    <w:p w:rsidR="00B7126F" w:rsidRDefault="00B7126F" w:rsidP="00B7126F">
      <w:pPr>
        <w:pStyle w:val="Badan"/>
        <w:ind w:firstLine="360"/>
        <w:jc w:val="both"/>
        <w:rPr>
          <w:rFonts w:cs="Times New Roman"/>
          <w:shd w:val="clear" w:color="auto" w:fill="FFFFFF"/>
        </w:rPr>
      </w:pPr>
      <w:r w:rsidRPr="00B7126F">
        <w:rPr>
          <w:rFonts w:cs="Times New Roman"/>
          <w:shd w:val="clear" w:color="auto" w:fill="FFFFFF"/>
        </w:rPr>
        <w:t>With regard to disaster management, the Indonesian state actually has a legal instrument in the form of Law Number 24 of 2007 concerning Disaster Management. Where it is stated in the law that disaster management is the responsibility of the government and local governments. In addition, it is also stated in the regulation that disaster management is carried out on the basis of humanity, justice, equality in law and government, balance, harmony and harmony, legal order and certainty, togetherness, environmental preservation, and science and technology, which means that its implementation presupposes holistic disaster management.</w:t>
      </w:r>
    </w:p>
    <w:p w:rsidR="00B7126F" w:rsidRDefault="00B7126F" w:rsidP="003F4DA5">
      <w:pPr>
        <w:pStyle w:val="Badan"/>
        <w:ind w:firstLine="360"/>
        <w:jc w:val="both"/>
        <w:rPr>
          <w:rFonts w:cs="Times New Roman"/>
          <w:shd w:val="clear" w:color="auto" w:fill="FFFFFF"/>
        </w:rPr>
      </w:pPr>
      <w:r w:rsidRPr="00B7126F">
        <w:rPr>
          <w:rFonts w:cs="Times New Roman"/>
          <w:shd w:val="clear" w:color="auto" w:fill="FFFFFF"/>
        </w:rPr>
        <w:t>Returning to the tsunami issue as previously described, there were 6,999 people who were forced to flee due to the natural disaster of the tsunami.</w:t>
      </w:r>
      <w:r w:rsidR="00C958E6">
        <w:rPr>
          <w:rFonts w:cs="Times New Roman"/>
          <w:shd w:val="clear" w:color="auto" w:fill="FFFFFF"/>
        </w:rPr>
        <w:fldChar w:fldCharType="begin" w:fldLock="1"/>
      </w:r>
      <w:r w:rsidR="003F4DA5">
        <w:rPr>
          <w:rFonts w:cs="Times New Roman"/>
          <w:shd w:val="clear" w:color="auto" w:fill="FFFFFF"/>
        </w:rPr>
        <w:instrText>ADDIN CSL_CITATION {"citationItems":[{"id":"ITEM-1","itemData":{"URL":"https://bnpb.go.id/uploads/24/2019-01-22-infografis-selat-sunda-1.jpg","accessed":{"date-parts":[["2020","6","25"]]},"id":"ITEM-1","issued":{"date-parts":[["2019"]]},"title":"Infografis Badan Nasional Penanggulangan Bencana","type":"webpage"},"uris":["http://www.mendeley.com/documents/?uuid=28f1968c-d335-45ed-9e86-8c23d31a24fe"]}],"mendeley":{"formattedCitation":"[4]","plainTextFormattedCitation":"[4]","previouslyFormattedCitation":"[4]"},"properties":{"noteIndex":0},"schema":"https://github.com/citation-style-language/schema/raw/master/csl-citation.json"}</w:instrText>
      </w:r>
      <w:r w:rsidR="00C958E6">
        <w:rPr>
          <w:rFonts w:cs="Times New Roman"/>
          <w:shd w:val="clear" w:color="auto" w:fill="FFFFFF"/>
        </w:rPr>
        <w:fldChar w:fldCharType="separate"/>
      </w:r>
      <w:r w:rsidR="00C958E6" w:rsidRPr="00C958E6">
        <w:rPr>
          <w:rFonts w:cs="Times New Roman"/>
          <w:noProof/>
          <w:shd w:val="clear" w:color="auto" w:fill="FFFFFF"/>
        </w:rPr>
        <w:t>[4]</w:t>
      </w:r>
      <w:r w:rsidR="00C958E6">
        <w:rPr>
          <w:rFonts w:cs="Times New Roman"/>
          <w:shd w:val="clear" w:color="auto" w:fill="FFFFFF"/>
        </w:rPr>
        <w:fldChar w:fldCharType="end"/>
      </w:r>
      <w:r w:rsidRPr="00B7126F">
        <w:rPr>
          <w:rFonts w:cs="Times New Roman"/>
          <w:shd w:val="clear" w:color="auto" w:fill="FFFFFF"/>
        </w:rPr>
        <w:t xml:space="preserve"> Responding to this problem, the local government of South Lampung Regency has implemented a resettlement or resettlement policy. </w:t>
      </w:r>
      <w:r w:rsidRPr="00B7126F">
        <w:rPr>
          <w:rFonts w:cs="Times New Roman"/>
          <w:shd w:val="clear" w:color="auto" w:fill="FFFFFF"/>
        </w:rPr>
        <w:lastRenderedPageBreak/>
        <w:t>During the resettlement process, people affected by the disaster were temporarily asked to live in shelters (temporary housing). By cooperating with several parties such as mass organizations and the TNI, the South Lampung Regional Government has prepared 537 shelters.</w:t>
      </w:r>
      <w:r w:rsidR="003F4DA5">
        <w:rPr>
          <w:rFonts w:cs="Times New Roman"/>
          <w:shd w:val="clear" w:color="auto" w:fill="FFFFFF"/>
        </w:rPr>
        <w:fldChar w:fldCharType="begin" w:fldLock="1"/>
      </w:r>
      <w:r w:rsidR="003F4DA5">
        <w:rPr>
          <w:rFonts w:cs="Times New Roman"/>
          <w:shd w:val="clear" w:color="auto" w:fill="FFFFFF"/>
        </w:rPr>
        <w:instrText>ADDIN CSL_CITATION {"citationItems":[{"id":"ITEM-1","itemData":{"URL":"https://www.lampost.co/berita-pemkab-lamsel-siapkan-537-unit-hunian-sementara-korban-bencana.html ","accessed":{"date-parts":[["2020","6","25"]]},"id":"ITEM-1","issued":{"date-parts":[["2019"]]},"title":"Pemkab Lamsel Siapkan 537 Unit Hunian Sementara Korban Bencana","type":"webpage"},"uris":["http://www.mendeley.com/documents/?uuid=b4667bde-cd14-426e-ba80-0fc972808bdc"]}],"mendeley":{"formattedCitation":"[5]","plainTextFormattedCitation":"[5]","previouslyFormattedCitation":"[5]"},"properties":{"noteIndex":0},"schema":"https://github.com/citation-style-language/schema/raw/master/csl-citation.json"}</w:instrText>
      </w:r>
      <w:r w:rsidR="003F4DA5">
        <w:rPr>
          <w:rFonts w:cs="Times New Roman"/>
          <w:shd w:val="clear" w:color="auto" w:fill="FFFFFF"/>
        </w:rPr>
        <w:fldChar w:fldCharType="separate"/>
      </w:r>
      <w:r w:rsidR="003F4DA5" w:rsidRPr="003F4DA5">
        <w:rPr>
          <w:rFonts w:cs="Times New Roman"/>
          <w:noProof/>
          <w:shd w:val="clear" w:color="auto" w:fill="FFFFFF"/>
        </w:rPr>
        <w:t>[5]</w:t>
      </w:r>
      <w:r w:rsidR="003F4DA5">
        <w:rPr>
          <w:rFonts w:cs="Times New Roman"/>
          <w:shd w:val="clear" w:color="auto" w:fill="FFFFFF"/>
        </w:rPr>
        <w:fldChar w:fldCharType="end"/>
      </w:r>
    </w:p>
    <w:p w:rsidR="00B7126F" w:rsidRDefault="00B7126F" w:rsidP="003F4DA5">
      <w:pPr>
        <w:pStyle w:val="Badan"/>
        <w:ind w:firstLine="360"/>
        <w:jc w:val="both"/>
        <w:rPr>
          <w:rFonts w:cs="Times New Roman"/>
          <w:shd w:val="clear" w:color="auto" w:fill="FFFFFF"/>
        </w:rPr>
      </w:pPr>
      <w:r w:rsidRPr="00B7126F">
        <w:rPr>
          <w:rFonts w:cs="Times New Roman"/>
          <w:shd w:val="clear" w:color="auto" w:fill="FFFFFF"/>
        </w:rPr>
        <w:t xml:space="preserve">With regard to this resettlement policy, Jamie Draper and Catriona </w:t>
      </w:r>
      <w:proofErr w:type="spellStart"/>
      <w:r w:rsidRPr="00B7126F">
        <w:rPr>
          <w:rFonts w:cs="Times New Roman"/>
          <w:shd w:val="clear" w:color="auto" w:fill="FFFFFF"/>
        </w:rPr>
        <w:t>Mckinnon</w:t>
      </w:r>
      <w:proofErr w:type="spellEnd"/>
      <w:r w:rsidR="003F4DA5">
        <w:rPr>
          <w:rFonts w:cs="Times New Roman"/>
          <w:shd w:val="clear" w:color="auto" w:fill="FFFFFF"/>
        </w:rPr>
        <w:fldChar w:fldCharType="begin" w:fldLock="1"/>
      </w:r>
      <w:r w:rsidR="003F4DA5">
        <w:rPr>
          <w:rFonts w:cs="Times New Roman"/>
          <w:shd w:val="clear" w:color="auto" w:fill="FFFFFF"/>
        </w:rPr>
        <w:instrText>ADDIN CSL_CITATION {"citationItems":[{"id":"ITEM-1","itemData":{"DOI":"10.1002/wcc.519","ISSN":"17577799","abstract":"Climate-induced resettlement programs are happening right now in places around the world where populations face high risks from climatic impacts. Burgeoning literatures are considering the ethical implications of climate change more broadly, and the ethics of migration, but the nexus between the two issues has not been given enough attention by moral and political theorists, especially with respect to climate-induced community resettlement. Here, we sketch the key nodes in a debate we think should take place, which will be made even more urgent in the coming decades as climate change impacts on communities least resilient to it. This article is categorized under: Climate, Nature, and Ethics &gt; Climate Change and Global Justice.","author":[{"dropping-particle":"","family":"Draper","given":"Jamie","non-dropping-particle":"","parse-names":false,"suffix":""},{"dropping-particle":"","family":"McKinnon","given":"Catriona","non-dropping-particle":"","parse-names":false,"suffix":""}],"container-title":"Wiley Interdisciplinary Reviews: Climate Change","id":"ITEM-1","issued":{"date-parts":[["2018"]]},"title":"The ethics of climate-induced community displacement and resettlement","type":"article-journal"},"uris":["http://www.mendeley.com/documents/?uuid=df6d778c-de65-4cbc-9589-cd554bc34370"]}],"mendeley":{"formattedCitation":"[6]","plainTextFormattedCitation":"[6]","previouslyFormattedCitation":"[6]"},"properties":{"noteIndex":0},"schema":"https://github.com/citation-style-language/schema/raw/master/csl-citation.json"}</w:instrText>
      </w:r>
      <w:r w:rsidR="003F4DA5">
        <w:rPr>
          <w:rFonts w:cs="Times New Roman"/>
          <w:shd w:val="clear" w:color="auto" w:fill="FFFFFF"/>
        </w:rPr>
        <w:fldChar w:fldCharType="separate"/>
      </w:r>
      <w:r w:rsidR="003F4DA5" w:rsidRPr="003F4DA5">
        <w:rPr>
          <w:rFonts w:cs="Times New Roman"/>
          <w:noProof/>
          <w:shd w:val="clear" w:color="auto" w:fill="FFFFFF"/>
        </w:rPr>
        <w:t>[6]</w:t>
      </w:r>
      <w:r w:rsidR="003F4DA5">
        <w:rPr>
          <w:rFonts w:cs="Times New Roman"/>
          <w:shd w:val="clear" w:color="auto" w:fill="FFFFFF"/>
        </w:rPr>
        <w:fldChar w:fldCharType="end"/>
      </w:r>
      <w:r w:rsidRPr="00B7126F">
        <w:rPr>
          <w:rFonts w:cs="Times New Roman"/>
          <w:shd w:val="clear" w:color="auto" w:fill="FFFFFF"/>
        </w:rPr>
        <w:t xml:space="preserve"> stated that in carrying out the resettlement policy, there are at least two stages that must be considered, namely the decision-making stage and the implementation stage. At the decision-making stage, the participation of the parties who will be affected by the policy is a core element that ethically must be realized. Meanwhile, at the implementation stage, it is important to pay attention to the provision of needs, resources and services that need to be provided to affected parties. In essence, this resettlement policy is a momentum for the welfare of parties affected by natural disasters, aka not just restoring what once existed, but making people live in a much better condition.</w:t>
      </w:r>
    </w:p>
    <w:p w:rsidR="005A29A8" w:rsidRDefault="00B7126F" w:rsidP="003F4DA5">
      <w:pPr>
        <w:pStyle w:val="Badan"/>
        <w:ind w:firstLine="360"/>
        <w:jc w:val="both"/>
      </w:pPr>
      <w:r w:rsidRPr="00B7126F">
        <w:rPr>
          <w:rFonts w:cs="Times New Roman"/>
          <w:shd w:val="clear" w:color="auto" w:fill="FFFFFF"/>
        </w:rPr>
        <w:t>Based on this background, this paper is intended to examine the resettlement policy held for parties affected by natural disasters in South Lampung. This study seeks to examine the implementation of the resettlement policy for those affected by the tsunami disaster in South Lampung by analyzing whether the resettlement policy was implemented by considering the legal, economic, social, cultural, and human rights aspects of the parties affected by the tsunami disaster. This research is a legal research that uses an approach in which a policy is studied not only in terms of text, but also a deepening of the context that includes all processes, from the formation of laws to the operation of laws.</w:t>
      </w:r>
      <w:r w:rsidR="003F4DA5">
        <w:rPr>
          <w:rFonts w:cs="Times New Roman"/>
          <w:shd w:val="clear" w:color="auto" w:fill="FFFFFF"/>
        </w:rPr>
        <w:fldChar w:fldCharType="begin" w:fldLock="1"/>
      </w:r>
      <w:r w:rsidR="003F4DA5">
        <w:rPr>
          <w:rFonts w:cs="Times New Roman"/>
          <w:shd w:val="clear" w:color="auto" w:fill="FFFFFF"/>
        </w:rPr>
        <w:instrText>ADDIN CSL_CITATION {"citationItems":[{"id":"ITEM-1","itemData":{"URL":"https://herlambangperdana.files.wordpress.com/2008/06/penelitian-sosio-legal-dalam-tun.pdf","author":[{"dropping-particle":"","family":"Wiratraman","given":"Herlambang P.","non-dropping-particle":"","parse-names":false,"suffix":""}],"id":"ITEM-1","issued":{"date-parts":[["2000"]]},"title":"Penelitian Socio-Legal dan Konsekuensi Metodologisnya","type":"webpage"},"uris":["http://www.mendeley.com/documents/?uuid=1779dd53-5c1f-4eb3-b716-20d53df337d0"]}],"mendeley":{"formattedCitation":"[7]","plainTextFormattedCitation":"[7]","previouslyFormattedCitation":"[7]"},"properties":{"noteIndex":0},"schema":"https://github.com/citation-style-language/schema/raw/master/csl-citation.json"}</w:instrText>
      </w:r>
      <w:r w:rsidR="003F4DA5">
        <w:rPr>
          <w:rFonts w:cs="Times New Roman"/>
          <w:shd w:val="clear" w:color="auto" w:fill="FFFFFF"/>
        </w:rPr>
        <w:fldChar w:fldCharType="separate"/>
      </w:r>
      <w:r w:rsidR="003F4DA5" w:rsidRPr="003F4DA5">
        <w:rPr>
          <w:rFonts w:cs="Times New Roman"/>
          <w:noProof/>
          <w:shd w:val="clear" w:color="auto" w:fill="FFFFFF"/>
        </w:rPr>
        <w:t>[7]</w:t>
      </w:r>
      <w:r w:rsidR="003F4DA5">
        <w:rPr>
          <w:rFonts w:cs="Times New Roman"/>
          <w:shd w:val="clear" w:color="auto" w:fill="FFFFFF"/>
        </w:rPr>
        <w:fldChar w:fldCharType="end"/>
      </w:r>
    </w:p>
    <w:p w:rsidR="00B7126F" w:rsidRPr="00B7126F" w:rsidRDefault="00B7126F" w:rsidP="00B7126F">
      <w:pPr>
        <w:pStyle w:val="Badan"/>
        <w:keepNext/>
        <w:keepLines/>
        <w:tabs>
          <w:tab w:val="left" w:pos="454"/>
        </w:tabs>
        <w:spacing w:before="520" w:after="280"/>
        <w:jc w:val="both"/>
        <w:rPr>
          <w:b/>
          <w:bCs/>
          <w:sz w:val="24"/>
          <w:szCs w:val="24"/>
          <w:lang w:val="de-DE"/>
        </w:rPr>
      </w:pPr>
      <w:r>
        <w:rPr>
          <w:b/>
          <w:bCs/>
          <w:sz w:val="24"/>
          <w:szCs w:val="24"/>
          <w:lang w:val="de-DE"/>
        </w:rPr>
        <w:t xml:space="preserve">2  </w:t>
      </w:r>
      <w:r w:rsidRPr="00E35598">
        <w:rPr>
          <w:rFonts w:asciiTheme="majorBidi" w:hAnsiTheme="majorBidi" w:cstheme="majorBidi"/>
          <w:b/>
          <w:bCs/>
          <w:sz w:val="24"/>
          <w:szCs w:val="24"/>
          <w:shd w:val="clear" w:color="auto" w:fill="FFFFFF"/>
        </w:rPr>
        <w:t>Resettlement policy for tsunami-affected communities in South Lampung</w:t>
      </w:r>
    </w:p>
    <w:p w:rsidR="00B7126F" w:rsidRDefault="00B7126F" w:rsidP="008537BB">
      <w:pPr>
        <w:pStyle w:val="Badan"/>
        <w:ind w:firstLine="360"/>
        <w:jc w:val="both"/>
        <w:rPr>
          <w:rFonts w:cs="Times New Roman"/>
          <w:shd w:val="clear" w:color="auto" w:fill="FFFFFF"/>
        </w:rPr>
      </w:pPr>
      <w:r w:rsidRPr="00B7126F">
        <w:rPr>
          <w:rFonts w:cs="Times New Roman"/>
          <w:shd w:val="clear" w:color="auto" w:fill="FFFFFF"/>
        </w:rPr>
        <w:t xml:space="preserve">The natural disaster of the </w:t>
      </w:r>
      <w:proofErr w:type="spellStart"/>
      <w:r w:rsidRPr="00B7126F">
        <w:rPr>
          <w:rFonts w:cs="Times New Roman"/>
          <w:shd w:val="clear" w:color="auto" w:fill="FFFFFF"/>
        </w:rPr>
        <w:t>Sunda</w:t>
      </w:r>
      <w:proofErr w:type="spellEnd"/>
      <w:r w:rsidRPr="00B7126F">
        <w:rPr>
          <w:rFonts w:cs="Times New Roman"/>
          <w:shd w:val="clear" w:color="auto" w:fill="FFFFFF"/>
        </w:rPr>
        <w:t xml:space="preserve"> Strait tsunami that occurred at the end of 2018 made the Regional Government of South Lampung Regency as the organizer of the government in the area to take disaster management measures. According to Law Number 24 of 2007 concerning Disaster Management, it is stated that the implementation of disaster management includes three parts, namely pre-disaster, emergency response, and post-disaster. Where there is a paradigm shift in disaster management with the existing laws, which only emphasized issues of emergency response.</w:t>
      </w:r>
      <w:r w:rsidR="008537BB">
        <w:rPr>
          <w:rFonts w:cs="Times New Roman"/>
          <w:shd w:val="clear" w:color="auto" w:fill="FFFFFF"/>
        </w:rPr>
        <w:fldChar w:fldCharType="begin" w:fldLock="1"/>
      </w:r>
      <w:r w:rsidR="008537BB">
        <w:rPr>
          <w:rFonts w:cs="Times New Roman"/>
          <w:shd w:val="clear" w:color="auto" w:fill="FFFFFF"/>
        </w:rPr>
        <w:instrText>ADDIN CSL_CITATION {"citationItems":[{"id":"ITEM-1","itemData":{"author":[{"dropping-particle":"","family":"Anggono","given":"Bayu Dwi","non-dropping-particle":"","parse-names":false,"suffix":""}],"container-title":"Jurnal Mimbar Hukum Fakultas Hukum Universitas Gadjah Mada","id":"ITEM-1","issue":"2","issued":{"date-parts":[["2012"]]},"page":"1","title":"Harmonisasi Peraturan Perundang-undangan di Bidang Penanggulangan Bencana","type":"article-journal","volume":"22"},"uris":["http://www.mendeley.com/documents/?uuid=5166537c-9e73-49a6-ae25-e109eb34cded"]}],"mendeley":{"formattedCitation":"[8]","plainTextFormattedCitation":"[8]","previouslyFormattedCitation":"[8]"},"properties":{"noteIndex":0},"schema":"https://github.com/citation-style-language/schema/raw/master/csl-citation.json"}</w:instrText>
      </w:r>
      <w:r w:rsidR="008537BB">
        <w:rPr>
          <w:rFonts w:cs="Times New Roman"/>
          <w:shd w:val="clear" w:color="auto" w:fill="FFFFFF"/>
        </w:rPr>
        <w:fldChar w:fldCharType="separate"/>
      </w:r>
      <w:r w:rsidR="008537BB" w:rsidRPr="008537BB">
        <w:rPr>
          <w:rFonts w:cs="Times New Roman"/>
          <w:noProof/>
          <w:shd w:val="clear" w:color="auto" w:fill="FFFFFF"/>
        </w:rPr>
        <w:t>[8]</w:t>
      </w:r>
      <w:r w:rsidR="008537BB">
        <w:rPr>
          <w:rFonts w:cs="Times New Roman"/>
          <w:shd w:val="clear" w:color="auto" w:fill="FFFFFF"/>
        </w:rPr>
        <w:fldChar w:fldCharType="end"/>
      </w:r>
    </w:p>
    <w:p w:rsidR="00B7126F" w:rsidRDefault="00B7126F" w:rsidP="008537BB">
      <w:pPr>
        <w:pStyle w:val="Badan"/>
        <w:ind w:firstLine="360"/>
        <w:jc w:val="both"/>
        <w:rPr>
          <w:rFonts w:cs="Times New Roman"/>
          <w:shd w:val="clear" w:color="auto" w:fill="FFFFFF"/>
        </w:rPr>
      </w:pPr>
      <w:r w:rsidRPr="00B7126F">
        <w:rPr>
          <w:rFonts w:cs="Times New Roman"/>
          <w:shd w:val="clear" w:color="auto" w:fill="FFFFFF"/>
        </w:rPr>
        <w:t>In the pre-disaster section, disaster management is carried out before the occurrence or occurrence of a disaster, while in the emergency response section and the post-disaster section, it is the implementation of disaster management carried out after a disaster occurs. In its implementation, the implementation of disaster management consists of a series of policy aimed at disaster management, where in the context of tsunami disaster management in South Lampung, actions or steps that have been taken by the South Lampung Regional Government are one of them by establishing a resettlement policy for victims who were affected or affected by the tsunami.</w:t>
      </w:r>
      <w:r w:rsidR="008537BB">
        <w:rPr>
          <w:rFonts w:cs="Times New Roman"/>
          <w:shd w:val="clear" w:color="auto" w:fill="FFFFFF"/>
        </w:rPr>
        <w:fldChar w:fldCharType="begin" w:fldLock="1"/>
      </w:r>
      <w:r w:rsidR="008537BB">
        <w:rPr>
          <w:rFonts w:cs="Times New Roman"/>
          <w:shd w:val="clear" w:color="auto" w:fill="FFFFFF"/>
        </w:rPr>
        <w:instrText>ADDIN CSL_CITATION {"citationItems":[{"id":"ITEM-1","itemData":{"URL":"https://tirto.id/pemerintah-segera-bangun-rumah-untuk-korban-tsunami-di-lamsel-dfjU","accessed":{"date-parts":[["2020","6","26"]]},"id":"ITEM-1","issued":{"date-parts":[["2019"]]},"title":"Pemerintah Segera Bangun Rumah Untuk Korban Tsunami Di Lamsel","type":"webpage"},"uris":["http://www.mendeley.com/documents/?uuid=ee023f0c-fb2f-41ad-934a-d99153046103"]}],"mendeley":{"formattedCitation":"[9]","plainTextFormattedCitation":"[9]","previouslyFormattedCitation":"[9]"},"properties":{"noteIndex":0},"schema":"https://github.com/citation-style-language/schema/raw/master/csl-citation.json"}</w:instrText>
      </w:r>
      <w:r w:rsidR="008537BB">
        <w:rPr>
          <w:rFonts w:cs="Times New Roman"/>
          <w:shd w:val="clear" w:color="auto" w:fill="FFFFFF"/>
        </w:rPr>
        <w:fldChar w:fldCharType="separate"/>
      </w:r>
      <w:r w:rsidR="008537BB" w:rsidRPr="008537BB">
        <w:rPr>
          <w:rFonts w:cs="Times New Roman"/>
          <w:noProof/>
          <w:shd w:val="clear" w:color="auto" w:fill="FFFFFF"/>
        </w:rPr>
        <w:t>[9]</w:t>
      </w:r>
      <w:r w:rsidR="008537BB">
        <w:rPr>
          <w:rFonts w:cs="Times New Roman"/>
          <w:shd w:val="clear" w:color="auto" w:fill="FFFFFF"/>
        </w:rPr>
        <w:fldChar w:fldCharType="end"/>
      </w:r>
      <w:r w:rsidRPr="00B7126F">
        <w:rPr>
          <w:rFonts w:cs="Times New Roman"/>
          <w:shd w:val="clear" w:color="auto" w:fill="FFFFFF"/>
        </w:rPr>
        <w:t xml:space="preserve"> The resettlement policy referred to here is a policy of building permanent or permanent housing in a new place for all communities affected by the tsunami in South Lampung due to the destruction or damage to their previous dwellings.</w:t>
      </w:r>
    </w:p>
    <w:p w:rsidR="00B7126F" w:rsidRDefault="00B7126F" w:rsidP="008537BB">
      <w:pPr>
        <w:pStyle w:val="Badan"/>
        <w:ind w:firstLine="360"/>
        <w:jc w:val="both"/>
        <w:rPr>
          <w:rFonts w:cs="Times New Roman"/>
          <w:shd w:val="clear" w:color="auto" w:fill="FFFFFF"/>
        </w:rPr>
      </w:pPr>
      <w:r w:rsidRPr="00B7126F">
        <w:rPr>
          <w:rFonts w:cs="Times New Roman"/>
          <w:shd w:val="clear" w:color="auto" w:fill="FFFFFF"/>
        </w:rPr>
        <w:t>According to the Collins Dictionary, the definition of resettlement is the process of moving a group of people to another place due to conditions that make it impossible for these people to remain in the area where they once lived.</w:t>
      </w:r>
      <w:r w:rsidR="008537BB">
        <w:rPr>
          <w:rFonts w:cs="Times New Roman"/>
          <w:shd w:val="clear" w:color="auto" w:fill="FFFFFF"/>
        </w:rPr>
        <w:fldChar w:fldCharType="begin" w:fldLock="1"/>
      </w:r>
      <w:r w:rsidR="00446F44">
        <w:rPr>
          <w:rFonts w:cs="Times New Roman"/>
          <w:shd w:val="clear" w:color="auto" w:fill="FFFFFF"/>
        </w:rPr>
        <w:instrText>ADDIN CSL_CITATION {"citationItems":[{"id":"ITEM-1","itemData":{"URL":"https://www.collinsdictionary.com/dictionary/english/resettlement ","accessed":{"date-parts":[["2020","6","26"]]},"id":"ITEM-1","issued":{"date-parts":[["2020"]]},"title":"Resettlement","type":"webpage"},"uris":["http://www.mendeley.com/documents/?uuid=c53ba8c0-cf4f-4e93-8b41-51615f7cd9fa"]}],"mendeley":{"formattedCitation":"[10]","plainTextFormattedCitation":"[10]","previouslyFormattedCitation":"[10]"},"properties":{"noteIndex":0},"schema":"https://github.com/citation-style-language/schema/raw/master/csl-citation.json"}</w:instrText>
      </w:r>
      <w:r w:rsidR="008537BB">
        <w:rPr>
          <w:rFonts w:cs="Times New Roman"/>
          <w:shd w:val="clear" w:color="auto" w:fill="FFFFFF"/>
        </w:rPr>
        <w:fldChar w:fldCharType="separate"/>
      </w:r>
      <w:r w:rsidR="008537BB" w:rsidRPr="008537BB">
        <w:rPr>
          <w:rFonts w:cs="Times New Roman"/>
          <w:noProof/>
          <w:shd w:val="clear" w:color="auto" w:fill="FFFFFF"/>
        </w:rPr>
        <w:t>[10]</w:t>
      </w:r>
      <w:r w:rsidR="008537BB">
        <w:rPr>
          <w:rFonts w:cs="Times New Roman"/>
          <w:shd w:val="clear" w:color="auto" w:fill="FFFFFF"/>
        </w:rPr>
        <w:fldChar w:fldCharType="end"/>
      </w:r>
      <w:r w:rsidRPr="00B7126F">
        <w:rPr>
          <w:rFonts w:cs="Times New Roman"/>
          <w:shd w:val="clear" w:color="auto" w:fill="FFFFFF"/>
        </w:rPr>
        <w:t xml:space="preserve"> If examined further, it can be seen that this resettlement policy is an embodiment of one of the specific strategies in the 2015-2019 National Disaster Management Plan with a vision to build back better and safer or built back better and </w:t>
      </w:r>
      <w:r w:rsidRPr="00B7126F">
        <w:rPr>
          <w:rFonts w:cs="Times New Roman"/>
          <w:shd w:val="clear" w:color="auto" w:fill="FFFFFF"/>
        </w:rPr>
        <w:lastRenderedPageBreak/>
        <w:t>safer. Where this particular strategy emphasizes on better and safer community living conditions after the post-disaster recovery process. Even though, this policy is in a post-disaster framework or stage, in its implementation it is related to the emergency response stage or phase.</w:t>
      </w:r>
    </w:p>
    <w:p w:rsidR="00B7126F" w:rsidRDefault="00B7126F" w:rsidP="008537BB">
      <w:pPr>
        <w:pStyle w:val="Badan"/>
        <w:ind w:firstLine="360"/>
        <w:jc w:val="both"/>
        <w:rPr>
          <w:rFonts w:cs="Times New Roman"/>
          <w:shd w:val="clear" w:color="auto" w:fill="FFFFFF"/>
        </w:rPr>
      </w:pPr>
      <w:r w:rsidRPr="00B7126F">
        <w:rPr>
          <w:rFonts w:cs="Times New Roman"/>
          <w:shd w:val="clear" w:color="auto" w:fill="FFFFFF"/>
        </w:rPr>
        <w:t>With regard to the implementation of disaster management at the emergency response level, the implementation includes: quick and precise assessment of location, damage and resources; determining the status of a disaster emergency, rescuing and evacuating the affected community; fulfillment of basic needs; protection for vulnerable groups; and the immediate restoration of vital infrastructure and facilities. On the other hand, at the post-disaster level, the implementation of disaster management includes: rehabilitation and reconstruction. Where rehabilitation consists of a series of activities which include: improving the environment in the disaster area; repair of public infrastructure and facilities; providing assistance for community housing repairs; psychological social recovery; health services; reconciliation and conflict resolution; social, economic and cultural recovery; restoration of security and order; restoration of government functions; and restoration of public service functions. Meanwhile, reconstruction consists of a series of activities covering: reconstruction of infrastructure and facilities; rebuilding of community social facilities; revival of community socio-cultural life; application of appropriate design and use of better and disaster-resistant equipment; participation and participation of social institutions and organizations, the business world and the community; improvement of social, economic and cultural conditions; increasing the function of public services; or improvement of primary services in society.</w:t>
      </w:r>
    </w:p>
    <w:p w:rsidR="005A29A8" w:rsidRDefault="00B7126F" w:rsidP="008537BB">
      <w:pPr>
        <w:pStyle w:val="Badan"/>
        <w:ind w:firstLine="360"/>
        <w:jc w:val="both"/>
      </w:pPr>
      <w:r w:rsidRPr="00B7126F">
        <w:rPr>
          <w:rFonts w:cs="Times New Roman"/>
          <w:shd w:val="clear" w:color="auto" w:fill="FFFFFF"/>
        </w:rPr>
        <w:t xml:space="preserve">In practice in the field, implementation of the resettlement policy takes a long time, and in that long span of time the government and related parties assume responsibility for meeting the necessary needs of victims of natural disasters. Jamie Draper and Catriona </w:t>
      </w:r>
      <w:proofErr w:type="spellStart"/>
      <w:r w:rsidRPr="00B7126F">
        <w:rPr>
          <w:rFonts w:cs="Times New Roman"/>
          <w:shd w:val="clear" w:color="auto" w:fill="FFFFFF"/>
        </w:rPr>
        <w:t>Mckinnon</w:t>
      </w:r>
      <w:proofErr w:type="spellEnd"/>
      <w:r w:rsidR="003F4DA5">
        <w:rPr>
          <w:rFonts w:cs="Times New Roman"/>
          <w:shd w:val="clear" w:color="auto" w:fill="FFFFFF"/>
        </w:rPr>
        <w:fldChar w:fldCharType="begin" w:fldLock="1"/>
      </w:r>
      <w:r w:rsidR="008537BB">
        <w:rPr>
          <w:rFonts w:cs="Times New Roman"/>
          <w:shd w:val="clear" w:color="auto" w:fill="FFFFFF"/>
        </w:rPr>
        <w:instrText>ADDIN CSL_CITATION {"citationItems":[{"id":"ITEM-1","itemData":{"DOI":"10.1002/wcc.519","ISSN":"17577799","abstract":"Climate-induced resettlement programs are happening right now in places around the world where populations face high risks from climatic impacts. Burgeoning literatures are considering the ethical implications of climate change more broadly, and the ethics of migration, but the nexus between the two issues has not been given enough attention by moral and political theorists, especially with respect to climate-induced community resettlement. Here, we sketch the key nodes in a debate we think should take place, which will be made even more urgent in the coming decades as climate change impacts on communities least resilient to it. This article is categorized under: Climate, Nature, and Ethics &gt; Climate Change and Global Justice.","author":[{"dropping-particle":"","family":"Draper","given":"Jamie","non-dropping-particle":"","parse-names":false,"suffix":""},{"dropping-particle":"","family":"McKinnon","given":"Catriona","non-dropping-particle":"","parse-names":false,"suffix":""}],"container-title":"Wiley Interdisciplinary Reviews: Climate Change","id":"ITEM-1","issued":{"date-parts":[["2018"]]},"title":"The ethics of climate-induced community displacement and resettlement","type":"article-journal"},"uris":["http://www.mendeley.com/documents/?uuid=df6d778c-de65-4cbc-9589-cd554bc34370"]}],"mendeley":{"formattedCitation":"[6]","plainTextFormattedCitation":"[6]","previouslyFormattedCitation":"[6]"},"properties":{"noteIndex":0},"schema":"https://github.com/citation-style-language/schema/raw/master/csl-citation.json"}</w:instrText>
      </w:r>
      <w:r w:rsidR="003F4DA5">
        <w:rPr>
          <w:rFonts w:cs="Times New Roman"/>
          <w:shd w:val="clear" w:color="auto" w:fill="FFFFFF"/>
        </w:rPr>
        <w:fldChar w:fldCharType="separate"/>
      </w:r>
      <w:r w:rsidR="003F4DA5" w:rsidRPr="003F4DA5">
        <w:rPr>
          <w:rFonts w:cs="Times New Roman"/>
          <w:noProof/>
          <w:shd w:val="clear" w:color="auto" w:fill="FFFFFF"/>
        </w:rPr>
        <w:t>[6]</w:t>
      </w:r>
      <w:r w:rsidR="003F4DA5">
        <w:rPr>
          <w:rFonts w:cs="Times New Roman"/>
          <w:shd w:val="clear" w:color="auto" w:fill="FFFFFF"/>
        </w:rPr>
        <w:fldChar w:fldCharType="end"/>
      </w:r>
      <w:r w:rsidRPr="00B7126F">
        <w:rPr>
          <w:rFonts w:cs="Times New Roman"/>
          <w:shd w:val="clear" w:color="auto" w:fill="FFFFFF"/>
        </w:rPr>
        <w:t xml:space="preserve"> stated that in implementing the resettlement policy, there are two important stages that need to be considered, namely the decision-making stage and the implementation stage. At this stage of decision making regarding resettlement policies, things that need to be considered are community participation, social aspects, economic aspects, legal aspects, and cultural aspects. On the other hand, at the implementation or implementation stage, things that must be considered for policy administrators are the fulfillment of basic needs for affected parties as long as the occupancy remains unoccupied. For more details, please look at the flow chart below:</w:t>
      </w:r>
    </w:p>
    <w:p w:rsidR="009F23CE" w:rsidRDefault="009F23CE" w:rsidP="009F23CE">
      <w:pPr>
        <w:jc w:val="both"/>
        <w:rPr>
          <w:rFonts w:asciiTheme="majorBidi" w:hAnsiTheme="majorBidi" w:cstheme="majorBidi"/>
          <w:shd w:val="clear" w:color="auto" w:fill="FFFFFF"/>
        </w:rPr>
      </w:pPr>
      <w:r>
        <w:rPr>
          <w:rFonts w:asciiTheme="majorBidi" w:hAnsiTheme="majorBidi" w:cstheme="majorBidi"/>
          <w:noProof/>
          <w:shd w:val="clear" w:color="auto" w:fill="FFFFFF"/>
        </w:rPr>
        <w:drawing>
          <wp:inline distT="0" distB="0" distL="0" distR="0" wp14:anchorId="65C26001" wp14:editId="6CE9FE79">
            <wp:extent cx="5486400" cy="2105025"/>
            <wp:effectExtent l="0" t="0" r="3810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F23CE" w:rsidRDefault="009F23CE" w:rsidP="009F23CE">
      <w:pPr>
        <w:ind w:firstLine="720"/>
        <w:jc w:val="both"/>
        <w:rPr>
          <w:rFonts w:asciiTheme="majorBidi" w:hAnsiTheme="majorBidi" w:cstheme="majorBidi"/>
          <w:shd w:val="clear" w:color="auto" w:fill="FFFFFF"/>
        </w:rPr>
      </w:pPr>
    </w:p>
    <w:p w:rsidR="005C54C2" w:rsidRPr="005C54C2" w:rsidRDefault="005C54C2" w:rsidP="005C54C2">
      <w:pPr>
        <w:ind w:firstLine="720"/>
        <w:jc w:val="center"/>
        <w:rPr>
          <w:sz w:val="20"/>
          <w:szCs w:val="20"/>
          <w:shd w:val="clear" w:color="auto" w:fill="FFFFFF"/>
        </w:rPr>
      </w:pPr>
      <w:r w:rsidRPr="005C54C2">
        <w:rPr>
          <w:b/>
          <w:bCs/>
          <w:sz w:val="20"/>
          <w:szCs w:val="20"/>
          <w:shd w:val="clear" w:color="auto" w:fill="FFFFFF"/>
        </w:rPr>
        <w:t xml:space="preserve">Flow Chart 1. </w:t>
      </w:r>
      <w:r w:rsidRPr="005C54C2">
        <w:rPr>
          <w:sz w:val="20"/>
          <w:szCs w:val="20"/>
          <w:shd w:val="clear" w:color="auto" w:fill="FFFFFF"/>
        </w:rPr>
        <w:t>Resettlement Policy within Disaster Management Framework</w:t>
      </w:r>
    </w:p>
    <w:p w:rsidR="005C54C2" w:rsidRDefault="005C54C2" w:rsidP="009F23CE">
      <w:pPr>
        <w:pStyle w:val="Badan"/>
        <w:rPr>
          <w:rFonts w:asciiTheme="majorBidi" w:hAnsiTheme="majorBidi" w:cstheme="majorBidi"/>
          <w:sz w:val="24"/>
          <w:szCs w:val="24"/>
          <w:shd w:val="clear" w:color="auto" w:fill="FFFFFF"/>
        </w:rPr>
      </w:pPr>
    </w:p>
    <w:p w:rsidR="005C54C2" w:rsidRPr="005C54C2" w:rsidRDefault="009F23CE" w:rsidP="00446F44">
      <w:pPr>
        <w:ind w:firstLine="720"/>
        <w:jc w:val="both"/>
        <w:rPr>
          <w:color w:val="000000" w:themeColor="text1"/>
          <w:sz w:val="20"/>
          <w:szCs w:val="20"/>
          <w:shd w:val="clear" w:color="auto" w:fill="FFFFFF"/>
        </w:rPr>
      </w:pPr>
      <w:r w:rsidRPr="005C54C2">
        <w:rPr>
          <w:sz w:val="20"/>
          <w:szCs w:val="20"/>
          <w:shd w:val="clear" w:color="auto" w:fill="FFFFFF"/>
        </w:rPr>
        <w:t xml:space="preserve">At the decision making stage, community participation is </w:t>
      </w:r>
      <w:r w:rsidR="005C54C2" w:rsidRPr="005C54C2">
        <w:rPr>
          <w:sz w:val="20"/>
          <w:szCs w:val="20"/>
          <w:shd w:val="clear" w:color="auto" w:fill="FFFFFF"/>
        </w:rPr>
        <w:t xml:space="preserve">a crucial matter that must be considered by the government. This is because this policy is essentially intended for the people affected by the disaster, so that the government as the organizer of the policy should invite these people to participate in implementing this policy. Community participation is carried out based on five principles, namely: </w:t>
      </w:r>
      <w:r w:rsidR="005C54C2" w:rsidRPr="005C54C2">
        <w:rPr>
          <w:i/>
          <w:iCs/>
          <w:sz w:val="20"/>
          <w:szCs w:val="20"/>
          <w:shd w:val="clear" w:color="auto" w:fill="FFFFFF"/>
        </w:rPr>
        <w:t>Participants are representatives of the population; emphasis is placed on understanding the issue at hand and the entirety of their significances; a range of values and points are taken into consideration; consensus and common ground are sought; and policy and decision-making are influenced from the ground up.</w:t>
      </w:r>
      <w:r w:rsidR="00446F44">
        <w:rPr>
          <w:i/>
          <w:iCs/>
          <w:sz w:val="20"/>
          <w:szCs w:val="20"/>
          <w:shd w:val="clear" w:color="auto" w:fill="FFFFFF"/>
        </w:rPr>
        <w:fldChar w:fldCharType="begin" w:fldLock="1"/>
      </w:r>
      <w:r w:rsidR="00446F44">
        <w:rPr>
          <w:i/>
          <w:iCs/>
          <w:sz w:val="20"/>
          <w:szCs w:val="20"/>
          <w:shd w:val="clear" w:color="auto" w:fill="FFFFFF"/>
        </w:rPr>
        <w:instrText>ADDIN CSL_CITATION {"citationItems":[{"id":"ITEM-1","itemData":{"DOI":"10.1007/978-3-319-48063-3","ISBN":"9783319480633","abstract":"This book provides a state of the art approach to participatory planning, and generates innovative thought in planning theory and knowledge study. The book introduces a new conceptual framework for participatory planning, one which redefines concepts that have been taken for granted for too long: those of public participation and local knowledge. It draws on the rich repertoire of public participation practices that have developed globally over the last 50 years, and investigates the following questions: Which participatory practices most effectively capture residents’ genuine spatial needs, perceptions and desires? And how can these be incorporated into actual plans? The book is based on an empirical comparative examination of the effectiveness of various participatory processes, and proposes practical solutions for public participation through two new instruments: the Practices Evaluation Tool, and the Participatory Methods Ladder. These instruments calibrate participation methods according to certain criteria, in order to improve their ability to extract local knowledge and incorporate it into planning deliverables. These new instruments correspond to and elaborate on Arnstein’s ladder - the 1969 theoretical landmark for participatory planning. Both academics and practitioners in the area of urban and regional planning will find this book to be an invaluable resource, given the way it develops both theoretical and practical cutting-edge outcomes.","author":[{"dropping-particle":"","family":"Berman","given":"Tal","non-dropping-particle":"","parse-names":false,"suffix":""}],"container-title":"Public Participation as a Tool for Integrating Local Knowledge Into Spatial Planning: Planning, Participation, and Knowledge","id":"ITEM-1","issued":{"date-parts":[["2016"]]},"title":"Public participation as a tool for integrating local knowledge into spatial planning: Planning, participation, and knowledge","type":"book"},"uris":["http://www.mendeley.com/documents/?uuid=d4f92330-163e-4dd7-aa25-b4e16ce1db23"]}],"mendeley":{"formattedCitation":"[11]","plainTextFormattedCitation":"[11]","previouslyFormattedCitation":"[11]"},"properties":{"noteIndex":0},"schema":"https://github.com/citation-style-language/schema/raw/master/csl-citation.json"}</w:instrText>
      </w:r>
      <w:r w:rsidR="00446F44">
        <w:rPr>
          <w:i/>
          <w:iCs/>
          <w:sz w:val="20"/>
          <w:szCs w:val="20"/>
          <w:shd w:val="clear" w:color="auto" w:fill="FFFFFF"/>
        </w:rPr>
        <w:fldChar w:fldCharType="separate"/>
      </w:r>
      <w:r w:rsidR="00446F44" w:rsidRPr="00446F44">
        <w:rPr>
          <w:iCs/>
          <w:noProof/>
          <w:sz w:val="20"/>
          <w:szCs w:val="20"/>
          <w:shd w:val="clear" w:color="auto" w:fill="FFFFFF"/>
        </w:rPr>
        <w:t>[11]</w:t>
      </w:r>
      <w:r w:rsidR="00446F44">
        <w:rPr>
          <w:i/>
          <w:iCs/>
          <w:sz w:val="20"/>
          <w:szCs w:val="20"/>
          <w:shd w:val="clear" w:color="auto" w:fill="FFFFFF"/>
        </w:rPr>
        <w:fldChar w:fldCharType="end"/>
      </w:r>
      <w:r w:rsidR="005C54C2" w:rsidRPr="005C54C2">
        <w:rPr>
          <w:sz w:val="20"/>
          <w:szCs w:val="20"/>
          <w:shd w:val="clear" w:color="auto" w:fill="FFFFFF"/>
        </w:rPr>
        <w:t xml:space="preserve"> Public participation in this resettlement policy can be pursued through a series of activities, namely: providing information to disaster-affected communities regarding this policy, listening to responses and opinions of disaster-affected communities on resettlement policies, the government and the community looking for solutions to problems related to resettlement policies, and conical on the agreements between the government and the people affected by this policy.</w:t>
      </w:r>
      <w:r w:rsidR="00446F44">
        <w:rPr>
          <w:sz w:val="20"/>
          <w:szCs w:val="20"/>
          <w:shd w:val="clear" w:color="auto" w:fill="FFFFFF"/>
        </w:rPr>
        <w:fldChar w:fldCharType="begin" w:fldLock="1"/>
      </w:r>
      <w:r w:rsidR="00446F44">
        <w:rPr>
          <w:sz w:val="20"/>
          <w:szCs w:val="20"/>
          <w:shd w:val="clear" w:color="auto" w:fill="FFFFFF"/>
        </w:rPr>
        <w:instrText>ADDIN CSL_CITATION {"citationItems":[{"id":"ITEM-1","itemData":{"ISBN":"0787973076","abstract":"Internationally renowned facilitator and public participation consultant James L. Creighton offers a practical guide to designing and facilitating public participation of the public in environmental and public policy decision making. Written for government officials, public and community leaders, and professional facilitators, \"The Public Participation Handbook\" is a toolkit for designing a participation process, selecting techniques to encourage participation, facilitating successful public meetings, working with the media, and evaluating the program. The book is also filled with practical advice, checklists, worksheets, and illustrative examples.","author":[{"dropping-particle":"","family":"Creighton","given":"James L.","non-dropping-particle":"","parse-names":false,"suffix":""}],"container-title":"Journal Of Ratchasuda College, Research and Development of Persons With Disabilities","id":"ITEM-1","issued":{"date-parts":[["2005"]]},"title":"The public participation handbook : making better decisions through citizen involvement","type":"article-journal"},"uris":["http://www.mendeley.com/documents/?uuid=73af7c5b-3e56-4d7f-b390-f36f70e9e4d9"]}],"mendeley":{"formattedCitation":"[12]","plainTextFormattedCitation":"[12]","previouslyFormattedCitation":"[12]"},"properties":{"noteIndex":0},"schema":"https://github.com/citation-style-language/schema/raw/master/csl-citation.json"}</w:instrText>
      </w:r>
      <w:r w:rsidR="00446F44">
        <w:rPr>
          <w:sz w:val="20"/>
          <w:szCs w:val="20"/>
          <w:shd w:val="clear" w:color="auto" w:fill="FFFFFF"/>
        </w:rPr>
        <w:fldChar w:fldCharType="separate"/>
      </w:r>
      <w:r w:rsidR="00446F44" w:rsidRPr="00446F44">
        <w:rPr>
          <w:noProof/>
          <w:sz w:val="20"/>
          <w:szCs w:val="20"/>
          <w:shd w:val="clear" w:color="auto" w:fill="FFFFFF"/>
        </w:rPr>
        <w:t>[12]</w:t>
      </w:r>
      <w:r w:rsidR="00446F44">
        <w:rPr>
          <w:sz w:val="20"/>
          <w:szCs w:val="20"/>
          <w:shd w:val="clear" w:color="auto" w:fill="FFFFFF"/>
        </w:rPr>
        <w:fldChar w:fldCharType="end"/>
      </w:r>
      <w:r w:rsidR="005C54C2">
        <w:rPr>
          <w:color w:val="000000" w:themeColor="text1"/>
          <w:sz w:val="20"/>
          <w:szCs w:val="20"/>
          <w:shd w:val="clear" w:color="auto" w:fill="FFFFFF"/>
        </w:rPr>
        <w:t xml:space="preserve"> </w:t>
      </w:r>
      <w:r w:rsidR="005C54C2" w:rsidRPr="005C54C2">
        <w:rPr>
          <w:sz w:val="20"/>
          <w:szCs w:val="20"/>
          <w:shd w:val="clear" w:color="auto" w:fill="FFFFFF"/>
        </w:rPr>
        <w:t>In addition, in a community participation, another important factor that determines the success of a policy is its relation to the public policy communication process. Good communication will undoubtedly produce good responses from the public who</w:t>
      </w:r>
      <w:r w:rsidR="005C54C2">
        <w:rPr>
          <w:sz w:val="20"/>
          <w:szCs w:val="20"/>
          <w:shd w:val="clear" w:color="auto" w:fill="FFFFFF"/>
        </w:rPr>
        <w:t xml:space="preserve"> are the targets of the policy.</w:t>
      </w:r>
    </w:p>
    <w:p w:rsidR="005C54C2" w:rsidRPr="005C54C2" w:rsidRDefault="005C54C2" w:rsidP="00446F44">
      <w:pPr>
        <w:ind w:firstLine="720"/>
        <w:jc w:val="both"/>
        <w:rPr>
          <w:sz w:val="20"/>
          <w:szCs w:val="20"/>
          <w:shd w:val="clear" w:color="auto" w:fill="FFFFFF"/>
        </w:rPr>
      </w:pPr>
      <w:r w:rsidRPr="005C54C2">
        <w:rPr>
          <w:sz w:val="20"/>
          <w:szCs w:val="20"/>
          <w:shd w:val="clear" w:color="auto" w:fill="FFFFFF"/>
        </w:rPr>
        <w:t xml:space="preserve">With regard to social, economic and cultural aspects at the stage of decision making in the resettlement policy, this is closely related to the need to conduct a social impact assessment by the policy administrator which is generally called a social impact assessment (SIA). Social Impact Assessment according to Frank </w:t>
      </w:r>
      <w:proofErr w:type="spellStart"/>
      <w:r w:rsidRPr="005C54C2">
        <w:rPr>
          <w:sz w:val="20"/>
          <w:szCs w:val="20"/>
          <w:shd w:val="clear" w:color="auto" w:fill="FFFFFF"/>
        </w:rPr>
        <w:t>Vanclay</w:t>
      </w:r>
      <w:proofErr w:type="spellEnd"/>
      <w:r w:rsidRPr="005C54C2">
        <w:rPr>
          <w:sz w:val="20"/>
          <w:szCs w:val="20"/>
          <w:shd w:val="clear" w:color="auto" w:fill="FFFFFF"/>
        </w:rPr>
        <w:t xml:space="preserve"> is an analysis process (which predicts, evaluates, and reflects) and overcomes the consequences that arise, whether desired or undesirable in the community environment which is the object of planning (both in a policy and projects) or other social changes that arise in the process in order to create a sustainable and just community environment.</w:t>
      </w:r>
      <w:r w:rsidR="00446F44">
        <w:rPr>
          <w:sz w:val="20"/>
          <w:szCs w:val="20"/>
          <w:shd w:val="clear" w:color="auto" w:fill="FFFFFF"/>
        </w:rPr>
        <w:fldChar w:fldCharType="begin" w:fldLock="1"/>
      </w:r>
      <w:r w:rsidR="00B636B1">
        <w:rPr>
          <w:sz w:val="20"/>
          <w:szCs w:val="20"/>
          <w:shd w:val="clear" w:color="auto" w:fill="FFFFFF"/>
        </w:rPr>
        <w:instrText>ADDIN CSL_CITATION {"citationItems":[{"id":"ITEM-1","itemData":{"DOI":"10.4337/9781843768616","ISBN":"1840649356","abstract":"'An innovative collection which takes social impact assessment to the frontiers of environmental and social policy and citizen awareness. Unusually, this collection includes both sophisticated quantitative tools and equally important chapters on participation, stakeholder involvement and environmental mediation. A most valuable source book.' - Michael Redclift, King's College, London, UK. Social Impact Assessment (SIA) is the process of analysing and managing the intended and unintended consequences on the human environment of planned interventions (policies, programmes, plans, projects) so as to bring about a more sustainable and equitable biophysical and human environment. This important Handbook presents an indispensable overview of the range of new methods and of the conceptual advances in SIA. © Henk A. Becker and Frank Vanclay, 2003. All rights reserved.","author":[{"dropping-particle":"","family":"Becker","given":"Henk A.","non-dropping-particle":"","parse-names":false,"suffix":""},{"dropping-particle":"","family":"Vanclay","given":"Frank","non-dropping-particle":"","parse-names":false,"suffix":""}],"container-title":"The International Handbook of Social Impact Assessment: Conceptual and Methodological Advances","id":"ITEM-1","issued":{"date-parts":[["2003"]]},"title":"The international handbook of social impact assessment: Conceptual and methodological advances","type":"book"},"uris":["http://www.mendeley.com/documents/?uuid=c0edf35d-db70-4577-8144-caea5ff9c88e"]}],"mendeley":{"formattedCitation":"[13]","plainTextFormattedCitation":"[13]","previouslyFormattedCitation":"[13]"},"properties":{"noteIndex":0},"schema":"https://github.com/citation-style-language/schema/raw/master/csl-citation.json"}</w:instrText>
      </w:r>
      <w:r w:rsidR="00446F44">
        <w:rPr>
          <w:sz w:val="20"/>
          <w:szCs w:val="20"/>
          <w:shd w:val="clear" w:color="auto" w:fill="FFFFFF"/>
        </w:rPr>
        <w:fldChar w:fldCharType="separate"/>
      </w:r>
      <w:r w:rsidR="00446F44" w:rsidRPr="00446F44">
        <w:rPr>
          <w:noProof/>
          <w:sz w:val="20"/>
          <w:szCs w:val="20"/>
          <w:shd w:val="clear" w:color="auto" w:fill="FFFFFF"/>
        </w:rPr>
        <w:t>[13]</w:t>
      </w:r>
      <w:r w:rsidR="00446F44">
        <w:rPr>
          <w:sz w:val="20"/>
          <w:szCs w:val="20"/>
          <w:shd w:val="clear" w:color="auto" w:fill="FFFFFF"/>
        </w:rPr>
        <w:fldChar w:fldCharType="end"/>
      </w:r>
      <w:r w:rsidRPr="005C54C2">
        <w:rPr>
          <w:sz w:val="20"/>
          <w:szCs w:val="20"/>
          <w:shd w:val="clear" w:color="auto" w:fill="FFFFFF"/>
        </w:rPr>
        <w:t xml:space="preserve"> Broadly speaking, SIA consists of four stages, namely scoping, forecasting impact, mitigation, and evaluation and monitoring.</w:t>
      </w:r>
    </w:p>
    <w:p w:rsidR="005C54C2" w:rsidRPr="005C54C2" w:rsidRDefault="005C54C2" w:rsidP="00B636B1">
      <w:pPr>
        <w:ind w:firstLine="720"/>
        <w:jc w:val="both"/>
        <w:rPr>
          <w:sz w:val="20"/>
          <w:szCs w:val="20"/>
          <w:shd w:val="clear" w:color="auto" w:fill="FFFFFF"/>
        </w:rPr>
      </w:pPr>
      <w:r w:rsidRPr="005C54C2">
        <w:rPr>
          <w:sz w:val="20"/>
          <w:szCs w:val="20"/>
          <w:shd w:val="clear" w:color="auto" w:fill="FFFFFF"/>
        </w:rPr>
        <w:t>At the scoping stage, there are three aspects that need to be considered, namely the identification of the main issues that form the basis for determining the affected components. The second aspect is determining the area to be studied, and the third aspect is an estimate of how long the impact will last.</w:t>
      </w:r>
      <w:r w:rsidR="00B636B1">
        <w:rPr>
          <w:sz w:val="20"/>
          <w:szCs w:val="20"/>
          <w:shd w:val="clear" w:color="auto" w:fill="FFFFFF"/>
        </w:rPr>
        <w:fldChar w:fldCharType="begin" w:fldLock="1"/>
      </w:r>
      <w:r w:rsidR="00B636B1">
        <w:rPr>
          <w:sz w:val="20"/>
          <w:szCs w:val="20"/>
          <w:shd w:val="clear" w:color="auto" w:fill="FFFFFF"/>
        </w:rPr>
        <w:instrText>ADDIN CSL_CITATION {"citationItems":[{"id":"ITEM-1","itemData":{"author":[{"dropping-particle":"","family":"Dyah","given":"","non-dropping-particle":"","parse-names":false,"suffix":""},{"dropping-particle":"","family":"Pratiwi","given":"Gita","non-dropping-particle":"","parse-names":false,"suffix":""}],"id":"ITEM-1","issued":{"date-parts":[["2012"]]},"publisher":"Indonesia University","title":"Penerapan Metode Social Impact Assessment dalam Pelaksanaan Tanggung Jawab Sosial Perusahaan ( Studi Kasus Pelaksanaan CSR di Artha Graha Peduli ) Penerapan Metode Social Impact Assessment dalam Pelaksanaan Tanggung Jawab Sosial Perusahaan","type":"thesis"},"uris":["http://www.mendeley.com/documents/?uuid=df9b9423-92b4-477e-8e23-40f1320a55ac"]}],"mendeley":{"formattedCitation":"[14]","plainTextFormattedCitation":"[14]","previouslyFormattedCitation":"[14]"},"properties":{"noteIndex":0},"schema":"https://github.com/citation-style-language/schema/raw/master/csl-citation.json"}</w:instrText>
      </w:r>
      <w:r w:rsidR="00B636B1">
        <w:rPr>
          <w:sz w:val="20"/>
          <w:szCs w:val="20"/>
          <w:shd w:val="clear" w:color="auto" w:fill="FFFFFF"/>
        </w:rPr>
        <w:fldChar w:fldCharType="separate"/>
      </w:r>
      <w:r w:rsidR="00B636B1" w:rsidRPr="00B636B1">
        <w:rPr>
          <w:noProof/>
          <w:sz w:val="20"/>
          <w:szCs w:val="20"/>
          <w:shd w:val="clear" w:color="auto" w:fill="FFFFFF"/>
        </w:rPr>
        <w:t>[14]</w:t>
      </w:r>
      <w:r w:rsidR="00B636B1">
        <w:rPr>
          <w:sz w:val="20"/>
          <w:szCs w:val="20"/>
          <w:shd w:val="clear" w:color="auto" w:fill="FFFFFF"/>
        </w:rPr>
        <w:fldChar w:fldCharType="end"/>
      </w:r>
      <w:r w:rsidRPr="005C54C2">
        <w:rPr>
          <w:sz w:val="20"/>
          <w:szCs w:val="20"/>
          <w:shd w:val="clear" w:color="auto" w:fill="FFFFFF"/>
        </w:rPr>
        <w:t xml:space="preserve"> At the impact prediction stage, there are also three aspects that need to be studied, namely, who is affected, what kind of impact will it take, and how long it will last.</w:t>
      </w:r>
      <w:r w:rsidR="00B636B1">
        <w:rPr>
          <w:sz w:val="20"/>
          <w:szCs w:val="20"/>
          <w:shd w:val="clear" w:color="auto" w:fill="FFFFFF"/>
        </w:rPr>
        <w:fldChar w:fldCharType="begin" w:fldLock="1"/>
      </w:r>
      <w:r w:rsidR="00B636B1">
        <w:rPr>
          <w:sz w:val="20"/>
          <w:szCs w:val="20"/>
          <w:shd w:val="clear" w:color="auto" w:fill="FFFFFF"/>
        </w:rPr>
        <w:instrText>ADDIN CSL_CITATION {"citationItems":[{"id":"ITEM-1","itemData":{"author":[{"dropping-particle":"","family":"Dyah","given":"","non-dropping-particle":"","parse-names":false,"suffix":""},{"dropping-particle":"","family":"Pratiwi","given":"Gita","non-dropping-particle":"","parse-names":false,"suffix":""}],"id":"ITEM-1","issued":{"date-parts":[["2012"]]},"publisher":"Indonesia University","title":"Penerapan Metode Social Impact Assessment dalam Pelaksanaan Tanggung Jawab Sosial Perusahaan ( Studi Kasus Pelaksanaan CSR di Artha Graha Peduli ) Penerapan Metode Social Impact Assessment dalam Pelaksanaan Tanggung Jawab Sosial Perusahaan","type":"thesis"},"uris":["http://www.mendeley.com/documents/?uuid=df9b9423-92b4-477e-8e23-40f1320a55ac"]}],"mendeley":{"formattedCitation":"[14]","plainTextFormattedCitation":"[14]","previouslyFormattedCitation":"[14]"},"properties":{"noteIndex":0},"schema":"https://github.com/citation-style-language/schema/raw/master/csl-citation.json"}</w:instrText>
      </w:r>
      <w:r w:rsidR="00B636B1">
        <w:rPr>
          <w:sz w:val="20"/>
          <w:szCs w:val="20"/>
          <w:shd w:val="clear" w:color="auto" w:fill="FFFFFF"/>
        </w:rPr>
        <w:fldChar w:fldCharType="separate"/>
      </w:r>
      <w:r w:rsidR="00B636B1" w:rsidRPr="00B636B1">
        <w:rPr>
          <w:noProof/>
          <w:sz w:val="20"/>
          <w:szCs w:val="20"/>
          <w:shd w:val="clear" w:color="auto" w:fill="FFFFFF"/>
        </w:rPr>
        <w:t>[14]</w:t>
      </w:r>
      <w:r w:rsidR="00B636B1">
        <w:rPr>
          <w:sz w:val="20"/>
          <w:szCs w:val="20"/>
          <w:shd w:val="clear" w:color="auto" w:fill="FFFFFF"/>
        </w:rPr>
        <w:fldChar w:fldCharType="end"/>
      </w:r>
      <w:r w:rsidRPr="005C54C2">
        <w:rPr>
          <w:sz w:val="20"/>
          <w:szCs w:val="20"/>
          <w:shd w:val="clear" w:color="auto" w:fill="FFFFFF"/>
        </w:rPr>
        <w:t xml:space="preserve"> Furthermore, at the mitigation stage, the impacts that have been assessed in the previous stage are examined whether mitigation measures can be taken for these impacts. In the last stage, an evaluation or assessment of the existing impacts of all alternative locations that will be used for resettlement development is carried out and assesses whether the specified mitigation design is appropriate and monitors whether its implementation is effective and efficient.</w:t>
      </w:r>
      <w:r w:rsidR="00B636B1">
        <w:rPr>
          <w:sz w:val="20"/>
          <w:szCs w:val="20"/>
          <w:shd w:val="clear" w:color="auto" w:fill="FFFFFF"/>
        </w:rPr>
        <w:fldChar w:fldCharType="begin" w:fldLock="1"/>
      </w:r>
      <w:r w:rsidR="00B636B1">
        <w:rPr>
          <w:sz w:val="20"/>
          <w:szCs w:val="20"/>
          <w:shd w:val="clear" w:color="auto" w:fill="FFFFFF"/>
        </w:rPr>
        <w:instrText>ADDIN CSL_CITATION {"citationItems":[{"id":"ITEM-1","itemData":{"author":[{"dropping-particle":"","family":"Dyah","given":"","non-dropping-particle":"","parse-names":false,"suffix":""},{"dropping-particle":"","family":"Pratiwi","given":"Gita","non-dropping-particle":"","parse-names":false,"suffix":""}],"id":"ITEM-1","issued":{"date-parts":[["2012"]]},"publisher":"Indonesia University","title":"Penerapan Metode Social Impact Assessment dalam Pelaksanaan Tanggung Jawab Sosial Perusahaan ( Studi Kasus Pelaksanaan CSR di Artha Graha Peduli ) Penerapan Metode Social Impact Assessment dalam Pelaksanaan Tanggung Jawab Sosial Perusahaan","type":"thesis"},"uris":["http://www.mendeley.com/documents/?uuid=df9b9423-92b4-477e-8e23-40f1320a55ac"]}],"mendeley":{"formattedCitation":"[14]","plainTextFormattedCitation":"[14]","previouslyFormattedCitation":"[14]"},"properties":{"noteIndex":0},"schema":"https://github.com/citation-style-language/schema/raw/master/csl-citation.json"}</w:instrText>
      </w:r>
      <w:r w:rsidR="00B636B1">
        <w:rPr>
          <w:sz w:val="20"/>
          <w:szCs w:val="20"/>
          <w:shd w:val="clear" w:color="auto" w:fill="FFFFFF"/>
        </w:rPr>
        <w:fldChar w:fldCharType="separate"/>
      </w:r>
      <w:r w:rsidR="00B636B1" w:rsidRPr="00B636B1">
        <w:rPr>
          <w:noProof/>
          <w:sz w:val="20"/>
          <w:szCs w:val="20"/>
          <w:shd w:val="clear" w:color="auto" w:fill="FFFFFF"/>
        </w:rPr>
        <w:t>[14]</w:t>
      </w:r>
      <w:r w:rsidR="00B636B1">
        <w:rPr>
          <w:sz w:val="20"/>
          <w:szCs w:val="20"/>
          <w:shd w:val="clear" w:color="auto" w:fill="FFFFFF"/>
        </w:rPr>
        <w:fldChar w:fldCharType="end"/>
      </w:r>
      <w:r w:rsidRPr="005C54C2">
        <w:rPr>
          <w:sz w:val="20"/>
          <w:szCs w:val="20"/>
          <w:shd w:val="clear" w:color="auto" w:fill="FFFFFF"/>
        </w:rPr>
        <w:t xml:space="preserve"> In the study of the social impact or SIA, this consideration of the social, economic and cultural aspects of the affected community will be analyzed in depth, so that in the process a better quality of life is created for the people affected by the disaster when they inhabit their new settlements.</w:t>
      </w:r>
    </w:p>
    <w:p w:rsidR="005C54C2" w:rsidRPr="005C54C2" w:rsidRDefault="005C54C2" w:rsidP="005C54C2">
      <w:pPr>
        <w:ind w:firstLine="720"/>
        <w:jc w:val="both"/>
        <w:rPr>
          <w:sz w:val="20"/>
          <w:szCs w:val="20"/>
          <w:shd w:val="clear" w:color="auto" w:fill="FFFFFF"/>
        </w:rPr>
      </w:pPr>
      <w:r w:rsidRPr="005C54C2">
        <w:rPr>
          <w:sz w:val="20"/>
          <w:szCs w:val="20"/>
          <w:shd w:val="clear" w:color="auto" w:fill="FFFFFF"/>
        </w:rPr>
        <w:t>Finally, with regard to legal aspects, generally this relates to what legal instruments are used, and the scope of authority. In the context of resettlement policy, although this policy is based on a series of disaster management measures. However, the implementation of this policy has links to other legal regimes, such as the spatial planning legal regime and the regional government legal regime. At the implementation stage, things that need to be considered besides the implementation of resettlement are the fulfillment of basic needs for people affected by natural disasters as well as temporary housing for them to occupy while the resettlement has not been completed.</w:t>
      </w:r>
    </w:p>
    <w:p w:rsidR="005C54C2" w:rsidRPr="005C54C2" w:rsidRDefault="005C54C2" w:rsidP="005C54C2">
      <w:pPr>
        <w:ind w:firstLine="720"/>
        <w:jc w:val="both"/>
        <w:rPr>
          <w:sz w:val="20"/>
          <w:szCs w:val="20"/>
          <w:shd w:val="clear" w:color="auto" w:fill="FFFFFF"/>
        </w:rPr>
      </w:pPr>
      <w:r w:rsidRPr="005C54C2">
        <w:rPr>
          <w:sz w:val="20"/>
          <w:szCs w:val="20"/>
          <w:shd w:val="clear" w:color="auto" w:fill="FFFFFF"/>
        </w:rPr>
        <w:lastRenderedPageBreak/>
        <w:t xml:space="preserve">Based on the discussion described in the previous section, the resettlement policy for tsunami-affected communities in South Lampung can be analyzed in two parts or points of view, namely in the decision-making section, and in the implementation or implementation of the resettlement policy itself. In the decision-making section, it will be examined whether the resettlement policy in the tsunami-affected communities in South Lampung involves community participation or not, whether this resettlement is carried out by considering the economic, social, and cultural aspects of the tsunami-affected community in the future, and what legal instruments are used. </w:t>
      </w:r>
      <w:proofErr w:type="gramStart"/>
      <w:r w:rsidRPr="005C54C2">
        <w:rPr>
          <w:sz w:val="20"/>
          <w:szCs w:val="20"/>
          <w:shd w:val="clear" w:color="auto" w:fill="FFFFFF"/>
        </w:rPr>
        <w:t>in</w:t>
      </w:r>
      <w:proofErr w:type="gramEnd"/>
      <w:r w:rsidRPr="005C54C2">
        <w:rPr>
          <w:sz w:val="20"/>
          <w:szCs w:val="20"/>
          <w:shd w:val="clear" w:color="auto" w:fill="FFFFFF"/>
        </w:rPr>
        <w:t xml:space="preserve"> carrying out this policy. Furthermore, at the implementation stage, it will be examined whether the resettlement policy for the community affected by the tsunami in South Lampung was met with their basic needs during the resettlement policy process.</w:t>
      </w:r>
    </w:p>
    <w:p w:rsidR="005C54C2" w:rsidRPr="005C54C2" w:rsidRDefault="005C54C2" w:rsidP="005C54C2">
      <w:pPr>
        <w:ind w:firstLine="720"/>
        <w:jc w:val="both"/>
        <w:rPr>
          <w:sz w:val="20"/>
          <w:szCs w:val="20"/>
          <w:shd w:val="clear" w:color="auto" w:fill="FFFFFF"/>
        </w:rPr>
      </w:pPr>
      <w:r w:rsidRPr="005C54C2">
        <w:rPr>
          <w:sz w:val="20"/>
          <w:szCs w:val="20"/>
          <w:shd w:val="clear" w:color="auto" w:fill="FFFFFF"/>
        </w:rPr>
        <w:t>The resettlement policy for communities affected by the tsunami in South Lampung was carried out based on Regent Decree No. B/613.1/ VI.02/HK/2019, with regard to decision making, in the aspect of public participation regarding resettlement policies in communities affected by the tsunami disaster in South Lampung, the regional government of South Lampung only carried out a part of the entire series of public or community participation as described in the previous discussion. The Regional Government of South Lampung only provided information that there would be construction of permanent housing for some of the residents affected by the tsunami disaster.</w:t>
      </w:r>
    </w:p>
    <w:p w:rsidR="005C54C2" w:rsidRPr="005C54C2" w:rsidRDefault="005C54C2" w:rsidP="00B636B1">
      <w:pPr>
        <w:ind w:firstLine="720"/>
        <w:jc w:val="both"/>
        <w:rPr>
          <w:sz w:val="20"/>
          <w:szCs w:val="20"/>
          <w:shd w:val="clear" w:color="auto" w:fill="FFFFFF"/>
        </w:rPr>
      </w:pPr>
      <w:r w:rsidRPr="005C54C2">
        <w:rPr>
          <w:sz w:val="20"/>
          <w:szCs w:val="20"/>
          <w:shd w:val="clear" w:color="auto" w:fill="FFFFFF"/>
        </w:rPr>
        <w:t>Then with regard to legal aspects, as we know that law as the basis for implementing policies is necessary for the people to carry out the arrangement of state life, and organizing various interests of a legal product is important so that there is no collision of interests.</w:t>
      </w:r>
      <w:r w:rsidR="00B636B1">
        <w:rPr>
          <w:sz w:val="20"/>
          <w:szCs w:val="20"/>
          <w:shd w:val="clear" w:color="auto" w:fill="FFFFFF"/>
        </w:rPr>
        <w:fldChar w:fldCharType="begin" w:fldLock="1"/>
      </w:r>
      <w:r w:rsidR="00B636B1">
        <w:rPr>
          <w:sz w:val="20"/>
          <w:szCs w:val="20"/>
          <w:shd w:val="clear" w:color="auto" w:fill="FFFFFF"/>
        </w:rPr>
        <w:instrText>ADDIN CSL_CITATION {"citationItems":[{"id":"ITEM-1","itemData":{"author":[{"dropping-particle":"","family":"Oktapani","given":"Silm","non-dropping-particle":"","parse-names":false,"suffix":""}],"id":"ITEM-1","issue":"1","issued":{"date-parts":[["2020"]]},"title":"RAKYAT INDONESIA BERDASARKAN UU SJSN DAN UNDANG-UNDANG BPJS POLITICS OF LAW THE FULFILLMENT OF THE RIGHT TO HEALTH FOR THE INDONESIAN PEOPLE BASED ON THE","type":"article-journal","volume":"8"},"uris":["http://www.mendeley.com/documents/?uuid=c509e8a5-42b8-466a-9553-a70fd5ca6bb6"]}],"mendeley":{"formattedCitation":"[15]","plainTextFormattedCitation":"[15]","previouslyFormattedCitation":"[15]"},"properties":{"noteIndex":0},"schema":"https://github.com/citation-style-language/schema/raw/master/csl-citation.json"}</w:instrText>
      </w:r>
      <w:r w:rsidR="00B636B1">
        <w:rPr>
          <w:sz w:val="20"/>
          <w:szCs w:val="20"/>
          <w:shd w:val="clear" w:color="auto" w:fill="FFFFFF"/>
        </w:rPr>
        <w:fldChar w:fldCharType="separate"/>
      </w:r>
      <w:r w:rsidR="00B636B1" w:rsidRPr="00B636B1">
        <w:rPr>
          <w:noProof/>
          <w:sz w:val="20"/>
          <w:szCs w:val="20"/>
          <w:shd w:val="clear" w:color="auto" w:fill="FFFFFF"/>
        </w:rPr>
        <w:t>[15]</w:t>
      </w:r>
      <w:r w:rsidR="00B636B1">
        <w:rPr>
          <w:sz w:val="20"/>
          <w:szCs w:val="20"/>
          <w:shd w:val="clear" w:color="auto" w:fill="FFFFFF"/>
        </w:rPr>
        <w:fldChar w:fldCharType="end"/>
      </w:r>
      <w:r w:rsidRPr="005C54C2">
        <w:rPr>
          <w:sz w:val="20"/>
          <w:szCs w:val="20"/>
          <w:shd w:val="clear" w:color="auto" w:fill="FFFFFF"/>
        </w:rPr>
        <w:t xml:space="preserve"> The regional government of South Lampung district in response to the natural disaster of the tsunami that occurred at the end of 2018, at the normative level, has issued at least 17 Regent Decrees and 1 Regent Regulation issued in response to the disaster.</w:t>
      </w:r>
    </w:p>
    <w:p w:rsidR="005C54C2" w:rsidRPr="005C54C2" w:rsidRDefault="005C54C2" w:rsidP="005C54C2">
      <w:pPr>
        <w:ind w:firstLine="720"/>
        <w:jc w:val="both"/>
        <w:rPr>
          <w:sz w:val="20"/>
          <w:szCs w:val="20"/>
          <w:shd w:val="clear" w:color="auto" w:fill="FFFFFF"/>
        </w:rPr>
      </w:pPr>
      <w:r w:rsidRPr="005C54C2">
        <w:rPr>
          <w:sz w:val="20"/>
          <w:szCs w:val="20"/>
          <w:shd w:val="clear" w:color="auto" w:fill="FFFFFF"/>
        </w:rPr>
        <w:t>Furthermore, in terms of considering social, economic and cultural aspects, in implementing the resettlement policy for the communities affected by the tsunami disaster in South Lampung, the organizers claimed to have conducted a study but whether the policy had carefully considered the social, economic and cultural aspects of the affected community The disaster in their new residence cannot be ascertained until now. This is for at least two reasons. The first reason is the unclear or transparent results of studies conducted by the organizers. The second reason is that the resettlement development progress has only just begun and has not yet been completed. So that the effectiveness of the new residence has not been tested.</w:t>
      </w:r>
    </w:p>
    <w:p w:rsidR="005C54C2" w:rsidRPr="005C54C2" w:rsidRDefault="005C54C2" w:rsidP="00B636B1">
      <w:pPr>
        <w:ind w:firstLine="720"/>
        <w:jc w:val="both"/>
        <w:rPr>
          <w:sz w:val="20"/>
          <w:szCs w:val="20"/>
          <w:shd w:val="clear" w:color="auto" w:fill="FFFFFF"/>
        </w:rPr>
      </w:pPr>
      <w:r w:rsidRPr="005C54C2">
        <w:rPr>
          <w:sz w:val="20"/>
          <w:szCs w:val="20"/>
          <w:shd w:val="clear" w:color="auto" w:fill="FFFFFF"/>
        </w:rPr>
        <w:t>At the implementation level or at a practical level, the Regional Government of South Lampung Regency has carried out a series of disaster management measures in an emergency response, starting from the evacuation of tsunami victims to the construction of temporary shelters. For tsunami victims whose houses were badly damaged, the South Lampung Regency Government implemented a resettlement policy and prohibited the victims from rebuilding their houses in their original places.</w:t>
      </w:r>
      <w:r w:rsidR="00B636B1">
        <w:rPr>
          <w:sz w:val="20"/>
          <w:szCs w:val="20"/>
          <w:shd w:val="clear" w:color="auto" w:fill="FFFFFF"/>
        </w:rPr>
        <w:fldChar w:fldCharType="begin" w:fldLock="1"/>
      </w:r>
      <w:r w:rsidR="00B636B1">
        <w:rPr>
          <w:sz w:val="20"/>
          <w:szCs w:val="20"/>
          <w:shd w:val="clear" w:color="auto" w:fill="FFFFFF"/>
        </w:rPr>
        <w:instrText>ADDIN CSL_CITATION {"citationItems":[{"id":"ITEM-1","itemData":{"URL":"https://regional.kompas.com/read/2019/03/18/11050521/geliat-kehidupan-warga-lampung-selatan-pasca-tsunami-selat-sunda?page=all ","accessed":{"date-parts":[["2020","6","26"]]},"id":"ITEM-1","issued":{"date-parts":[["2019"]]},"title":"Geliat Kehidupan Warga Lampung Selatan Pasca Tsunami Selat Sunda","type":"webpage"},"uris":["http://www.mendeley.com/documents/?uuid=ccd6325b-35f1-46b9-b311-e5eba2bd60a0"]}],"mendeley":{"formattedCitation":"[16]","plainTextFormattedCitation":"[16]","previouslyFormattedCitation":"[16]"},"properties":{"noteIndex":0},"schema":"https://github.com/citation-style-language/schema/raw/master/csl-citation.json"}</w:instrText>
      </w:r>
      <w:r w:rsidR="00B636B1">
        <w:rPr>
          <w:sz w:val="20"/>
          <w:szCs w:val="20"/>
          <w:shd w:val="clear" w:color="auto" w:fill="FFFFFF"/>
        </w:rPr>
        <w:fldChar w:fldCharType="separate"/>
      </w:r>
      <w:r w:rsidR="00B636B1" w:rsidRPr="00B636B1">
        <w:rPr>
          <w:noProof/>
          <w:sz w:val="20"/>
          <w:szCs w:val="20"/>
          <w:shd w:val="clear" w:color="auto" w:fill="FFFFFF"/>
        </w:rPr>
        <w:t>[16]</w:t>
      </w:r>
      <w:r w:rsidR="00B636B1">
        <w:rPr>
          <w:sz w:val="20"/>
          <w:szCs w:val="20"/>
          <w:shd w:val="clear" w:color="auto" w:fill="FFFFFF"/>
        </w:rPr>
        <w:fldChar w:fldCharType="end"/>
      </w:r>
    </w:p>
    <w:p w:rsidR="005C54C2" w:rsidRPr="005C54C2" w:rsidRDefault="005C54C2" w:rsidP="00B636B1">
      <w:pPr>
        <w:ind w:firstLine="720"/>
        <w:jc w:val="both"/>
        <w:rPr>
          <w:sz w:val="20"/>
          <w:szCs w:val="20"/>
          <w:shd w:val="clear" w:color="auto" w:fill="FFFFFF"/>
        </w:rPr>
      </w:pPr>
      <w:r w:rsidRPr="005C54C2">
        <w:rPr>
          <w:sz w:val="20"/>
          <w:szCs w:val="20"/>
          <w:shd w:val="clear" w:color="auto" w:fill="FFFFFF"/>
        </w:rPr>
        <w:t>While the resettlement process for new housing for tsunami victims has not been completed, the Regional Government of South Lampung Regency has been asked to stay temporarily in temporary housing. The problem is, regarding the information on how long they will stay in shelters, and when they can occupy the shelter, it remains unclear. Especially because permanent housing will be built in the area that is used as a shelter, the victims are confused about where they will stay during the construction of permanent housing.</w:t>
      </w:r>
      <w:r w:rsidR="00B636B1">
        <w:rPr>
          <w:sz w:val="20"/>
          <w:szCs w:val="20"/>
          <w:shd w:val="clear" w:color="auto" w:fill="FFFFFF"/>
        </w:rPr>
        <w:fldChar w:fldCharType="begin" w:fldLock="1"/>
      </w:r>
      <w:r w:rsidR="00F42623">
        <w:rPr>
          <w:sz w:val="20"/>
          <w:szCs w:val="20"/>
          <w:shd w:val="clear" w:color="auto" w:fill="FFFFFF"/>
        </w:rPr>
        <w:instrText>ADDIN CSL_CITATION {"citationItems":[{"id":"ITEM-1","itemData":{"URL":"https://www.lampost.co/berita-huntara-di-desa-kunjir-mulai-dibongkar.html ","accessed":{"date-parts":[["2020","7","10"]]},"id":"ITEM-1","issued":{"date-parts":[["2020"]]},"title":"Huntara di Desa Kunjir Mulai Dibongkar","type":"webpage"},"uris":["http://www.mendeley.com/documents/?uuid=806c1815-03f6-4f90-bbc9-5d1e211d74da"]}],"mendeley":{"formattedCitation":"[17]","plainTextFormattedCitation":"[17]","previouslyFormattedCitation":"[17]"},"properties":{"noteIndex":0},"schema":"https://github.com/citation-style-language/schema/raw/master/csl-citation.json"}</w:instrText>
      </w:r>
      <w:r w:rsidR="00B636B1">
        <w:rPr>
          <w:sz w:val="20"/>
          <w:szCs w:val="20"/>
          <w:shd w:val="clear" w:color="auto" w:fill="FFFFFF"/>
        </w:rPr>
        <w:fldChar w:fldCharType="separate"/>
      </w:r>
      <w:r w:rsidR="00B636B1" w:rsidRPr="00B636B1">
        <w:rPr>
          <w:noProof/>
          <w:sz w:val="20"/>
          <w:szCs w:val="20"/>
          <w:shd w:val="clear" w:color="auto" w:fill="FFFFFF"/>
        </w:rPr>
        <w:t>[17]</w:t>
      </w:r>
      <w:r w:rsidR="00B636B1">
        <w:rPr>
          <w:sz w:val="20"/>
          <w:szCs w:val="20"/>
          <w:shd w:val="clear" w:color="auto" w:fill="FFFFFF"/>
        </w:rPr>
        <w:fldChar w:fldCharType="end"/>
      </w:r>
      <w:r w:rsidRPr="005C54C2">
        <w:rPr>
          <w:sz w:val="20"/>
          <w:szCs w:val="20"/>
          <w:shd w:val="clear" w:color="auto" w:fill="FFFFFF"/>
        </w:rPr>
        <w:t xml:space="preserve"> This indicates that there is inadequate planning and that victims are not involved in participating in the policy.</w:t>
      </w:r>
    </w:p>
    <w:p w:rsidR="005C54C2" w:rsidRPr="005C54C2" w:rsidRDefault="005C54C2" w:rsidP="00F42623">
      <w:pPr>
        <w:ind w:firstLine="720"/>
        <w:jc w:val="both"/>
        <w:rPr>
          <w:sz w:val="20"/>
          <w:szCs w:val="20"/>
          <w:shd w:val="clear" w:color="auto" w:fill="FFFFFF"/>
        </w:rPr>
      </w:pPr>
      <w:r w:rsidRPr="005C54C2">
        <w:rPr>
          <w:sz w:val="20"/>
          <w:szCs w:val="20"/>
          <w:shd w:val="clear" w:color="auto" w:fill="FFFFFF"/>
        </w:rPr>
        <w:t>Further problems later, in implementing this policy, there are new problems such as the absence of land assets,</w:t>
      </w:r>
      <w:r w:rsidR="00F42623">
        <w:rPr>
          <w:sz w:val="20"/>
          <w:szCs w:val="20"/>
          <w:shd w:val="clear" w:color="auto" w:fill="FFFFFF"/>
        </w:rPr>
        <w:fldChar w:fldCharType="begin" w:fldLock="1"/>
      </w:r>
      <w:r w:rsidR="00F42623">
        <w:rPr>
          <w:sz w:val="20"/>
          <w:szCs w:val="20"/>
          <w:shd w:val="clear" w:color="auto" w:fill="FFFFFF"/>
        </w:rPr>
        <w:instrText>ADDIN CSL_CITATION {"citationItems":[{"id":"ITEM-1","itemData":{"URL":"http://www.radarlamsel.com/tak-punya-aset-pemkab-kesulitan-bangun-huntara","accessed":{"date-parts":[["2020","6","25"]]},"id":"ITEM-1","issued":{"date-parts":[["2019"]]},"title":"Tak Punya Aset, Pemkab Kesulitan Bangun Huntara","type":"webpage"},"uris":["http://www.mendeley.com/documents/?uuid=25f14491-0ccb-4223-a84b-e0b61f6098e7"]}],"mendeley":{"formattedCitation":"[18]","plainTextFormattedCitation":"[18]","previouslyFormattedCitation":"[18]"},"properties":{"noteIndex":0},"schema":"https://github.com/citation-style-language/schema/raw/master/csl-citation.json"}</w:instrText>
      </w:r>
      <w:r w:rsidR="00F42623">
        <w:rPr>
          <w:sz w:val="20"/>
          <w:szCs w:val="20"/>
          <w:shd w:val="clear" w:color="auto" w:fill="FFFFFF"/>
        </w:rPr>
        <w:fldChar w:fldCharType="separate"/>
      </w:r>
      <w:r w:rsidR="00F42623" w:rsidRPr="00F42623">
        <w:rPr>
          <w:noProof/>
          <w:sz w:val="20"/>
          <w:szCs w:val="20"/>
          <w:shd w:val="clear" w:color="auto" w:fill="FFFFFF"/>
        </w:rPr>
        <w:t>[18]</w:t>
      </w:r>
      <w:r w:rsidR="00F42623">
        <w:rPr>
          <w:sz w:val="20"/>
          <w:szCs w:val="20"/>
          <w:shd w:val="clear" w:color="auto" w:fill="FFFFFF"/>
        </w:rPr>
        <w:fldChar w:fldCharType="end"/>
      </w:r>
      <w:r w:rsidRPr="005C54C2">
        <w:rPr>
          <w:sz w:val="20"/>
          <w:szCs w:val="20"/>
          <w:shd w:val="clear" w:color="auto" w:fill="FFFFFF"/>
        </w:rPr>
        <w:t xml:space="preserve"> and others.</w:t>
      </w:r>
      <w:r w:rsidR="00F42623">
        <w:rPr>
          <w:sz w:val="20"/>
          <w:szCs w:val="20"/>
          <w:shd w:val="clear" w:color="auto" w:fill="FFFFFF"/>
        </w:rPr>
        <w:fldChar w:fldCharType="begin" w:fldLock="1"/>
      </w:r>
      <w:r w:rsidR="00F42623">
        <w:rPr>
          <w:sz w:val="20"/>
          <w:szCs w:val="20"/>
          <w:shd w:val="clear" w:color="auto" w:fill="FFFFFF"/>
        </w:rPr>
        <w:instrText>ADDIN CSL_CITATION {"citationItems":[{"id":"ITEM-1","itemData":{"URL":"https://www.cendananews.com/2019/04/penyintas-tsunami-di-huntara-sukaraja-lamsel-minta-tambahan-sanitasi.html ","accessed":{"date-parts":[["2020","7","10"]]},"id":"ITEM-1","issued":{"date-parts":[["2019"]]},"title":"Penyintas Tsunami di Sukaraja Lamsel Minta Tambahan Sanitasi","type":"webpage"},"uris":["http://www.mendeley.com/documents/?uuid=d7ef6156-459d-40be-88e1-a9b6b54ccdba"]}],"mendeley":{"formattedCitation":"[19]","plainTextFormattedCitation":"[19]","previouslyFormattedCitation":"[19]"},"properties":{"noteIndex":0},"schema":"https://github.com/citation-style-language/schema/raw/master/csl-citation.json"}</w:instrText>
      </w:r>
      <w:r w:rsidR="00F42623">
        <w:rPr>
          <w:sz w:val="20"/>
          <w:szCs w:val="20"/>
          <w:shd w:val="clear" w:color="auto" w:fill="FFFFFF"/>
        </w:rPr>
        <w:fldChar w:fldCharType="separate"/>
      </w:r>
      <w:r w:rsidR="00F42623" w:rsidRPr="00F42623">
        <w:rPr>
          <w:noProof/>
          <w:sz w:val="20"/>
          <w:szCs w:val="20"/>
          <w:shd w:val="clear" w:color="auto" w:fill="FFFFFF"/>
        </w:rPr>
        <w:t>[19]</w:t>
      </w:r>
      <w:r w:rsidR="00F42623">
        <w:rPr>
          <w:sz w:val="20"/>
          <w:szCs w:val="20"/>
          <w:shd w:val="clear" w:color="auto" w:fill="FFFFFF"/>
        </w:rPr>
        <w:fldChar w:fldCharType="end"/>
      </w:r>
      <w:r w:rsidRPr="005C54C2">
        <w:rPr>
          <w:sz w:val="20"/>
          <w:szCs w:val="20"/>
          <w:shd w:val="clear" w:color="auto" w:fill="FFFFFF"/>
        </w:rPr>
        <w:t xml:space="preserve">  Not to mention, because the resettlement process </w:t>
      </w:r>
      <w:r w:rsidRPr="005C54C2">
        <w:rPr>
          <w:sz w:val="20"/>
          <w:szCs w:val="20"/>
          <w:shd w:val="clear" w:color="auto" w:fill="FFFFFF"/>
        </w:rPr>
        <w:lastRenderedPageBreak/>
        <w:t xml:space="preserve">was carried out in stages for local people who were still waiting for their turn to build </w:t>
      </w:r>
      <w:proofErr w:type="spellStart"/>
      <w:r w:rsidRPr="005C54C2">
        <w:rPr>
          <w:sz w:val="20"/>
          <w:szCs w:val="20"/>
          <w:shd w:val="clear" w:color="auto" w:fill="FFFFFF"/>
        </w:rPr>
        <w:t>huntap</w:t>
      </w:r>
      <w:proofErr w:type="spellEnd"/>
      <w:r w:rsidRPr="005C54C2">
        <w:rPr>
          <w:sz w:val="20"/>
          <w:szCs w:val="20"/>
          <w:shd w:val="clear" w:color="auto" w:fill="FFFFFF"/>
        </w:rPr>
        <w:t xml:space="preserve">, they had to live in shelters that were in poor condition. Such as inadequate public bathrooms, and temporary shelters that do not have </w:t>
      </w:r>
      <w:proofErr w:type="spellStart"/>
      <w:r w:rsidRPr="005C54C2">
        <w:rPr>
          <w:sz w:val="20"/>
          <w:szCs w:val="20"/>
          <w:shd w:val="clear" w:color="auto" w:fill="FFFFFF"/>
        </w:rPr>
        <w:t>tutters</w:t>
      </w:r>
      <w:proofErr w:type="spellEnd"/>
      <w:r w:rsidRPr="005C54C2">
        <w:rPr>
          <w:sz w:val="20"/>
          <w:szCs w:val="20"/>
          <w:shd w:val="clear" w:color="auto" w:fill="FFFFFF"/>
        </w:rPr>
        <w:t xml:space="preserve"> so that water floods in when it rains which results in flooding in the shelter area. Some tsunami victims even admit that they did not receive any assistance at all, because coincidentally they were not recorded.</w:t>
      </w:r>
      <w:r w:rsidRPr="005C54C2">
        <w:rPr>
          <w:rStyle w:val="FootnoteReference"/>
          <w:sz w:val="20"/>
          <w:szCs w:val="20"/>
          <w:shd w:val="clear" w:color="auto" w:fill="FFFFFF"/>
        </w:rPr>
        <w:t xml:space="preserve"> </w:t>
      </w:r>
      <w:r w:rsidR="00F42623">
        <w:rPr>
          <w:sz w:val="20"/>
          <w:szCs w:val="20"/>
          <w:shd w:val="clear" w:color="auto" w:fill="FFFFFF"/>
        </w:rPr>
        <w:fldChar w:fldCharType="begin" w:fldLock="1"/>
      </w:r>
      <w:r w:rsidR="00F42623">
        <w:rPr>
          <w:sz w:val="20"/>
          <w:szCs w:val="20"/>
          <w:shd w:val="clear" w:color="auto" w:fill="FFFFFF"/>
        </w:rPr>
        <w:instrText>ADDIN CSL_CITATION {"citationItems":[{"id":"ITEM-1","itemData":{"URL":"https://www.lampost.co/berita-warga-diminta-tetap-menempati-huntara-di-way-muli-timur.html ","accessed":{"date-parts":[["2020","7","10"]]},"id":"ITEM-1","issued":{"date-parts":[["2020"]]},"title":"Warga Diminta Tetap Menempati Huntara Di Waymuli Timur","type":"webpage"},"uris":["http://www.mendeley.com/documents/?uuid=1fc9bddb-fbd1-465d-a4b5-68f142bbaeeb"]}],"mendeley":{"formattedCitation":"[20]","plainTextFormattedCitation":"[20]"},"properties":{"noteIndex":0},"schema":"https://github.com/citation-style-language/schema/raw/master/csl-citation.json"}</w:instrText>
      </w:r>
      <w:r w:rsidR="00F42623">
        <w:rPr>
          <w:sz w:val="20"/>
          <w:szCs w:val="20"/>
          <w:shd w:val="clear" w:color="auto" w:fill="FFFFFF"/>
        </w:rPr>
        <w:fldChar w:fldCharType="separate"/>
      </w:r>
      <w:r w:rsidR="00F42623" w:rsidRPr="00F42623">
        <w:rPr>
          <w:noProof/>
          <w:sz w:val="20"/>
          <w:szCs w:val="20"/>
          <w:shd w:val="clear" w:color="auto" w:fill="FFFFFF"/>
        </w:rPr>
        <w:t>[20]</w:t>
      </w:r>
      <w:r w:rsidR="00F42623">
        <w:rPr>
          <w:sz w:val="20"/>
          <w:szCs w:val="20"/>
          <w:shd w:val="clear" w:color="auto" w:fill="FFFFFF"/>
        </w:rPr>
        <w:fldChar w:fldCharType="end"/>
      </w:r>
    </w:p>
    <w:p w:rsidR="005A29A8" w:rsidRDefault="005A29A8" w:rsidP="005C54C2">
      <w:pPr>
        <w:pStyle w:val="Badan"/>
      </w:pPr>
    </w:p>
    <w:p w:rsidR="005A29A8" w:rsidRDefault="00A31D59">
      <w:pPr>
        <w:pStyle w:val="Badan"/>
        <w:tabs>
          <w:tab w:val="left" w:pos="1361"/>
          <w:tab w:val="left" w:pos="1531"/>
          <w:tab w:val="left" w:pos="1701"/>
          <w:tab w:val="left" w:pos="1871"/>
          <w:tab w:val="left" w:pos="2041"/>
          <w:tab w:val="left" w:pos="2211"/>
          <w:tab w:val="left" w:pos="2381"/>
          <w:tab w:val="left" w:pos="2552"/>
        </w:tabs>
        <w:spacing w:before="120" w:after="120"/>
        <w:rPr>
          <w:b/>
          <w:bCs/>
          <w:sz w:val="24"/>
          <w:szCs w:val="24"/>
          <w:lang w:val="fr-FR"/>
        </w:rPr>
      </w:pPr>
      <w:proofErr w:type="spellStart"/>
      <w:r>
        <w:rPr>
          <w:b/>
          <w:bCs/>
          <w:sz w:val="24"/>
          <w:szCs w:val="24"/>
          <w:lang w:val="fr-FR"/>
        </w:rPr>
        <w:t>References</w:t>
      </w:r>
      <w:proofErr w:type="spellEnd"/>
    </w:p>
    <w:p w:rsidR="00F42623" w:rsidRPr="00F42623" w:rsidRDefault="002B0946" w:rsidP="00F42623">
      <w:pPr>
        <w:widowControl w:val="0"/>
        <w:autoSpaceDE w:val="0"/>
        <w:autoSpaceDN w:val="0"/>
        <w:adjustRightInd w:val="0"/>
        <w:spacing w:before="120" w:after="120"/>
        <w:ind w:left="640" w:hanging="640"/>
        <w:rPr>
          <w:noProof/>
          <w:sz w:val="20"/>
        </w:rPr>
      </w:pPr>
      <w:r>
        <w:fldChar w:fldCharType="begin" w:fldLock="1"/>
      </w:r>
      <w:r>
        <w:instrText xml:space="preserve">ADDIN Mendeley Bibliography CSL_BIBLIOGRAPHY </w:instrText>
      </w:r>
      <w:r>
        <w:fldChar w:fldCharType="separate"/>
      </w:r>
      <w:r w:rsidR="00F42623" w:rsidRPr="00F42623">
        <w:rPr>
          <w:noProof/>
          <w:sz w:val="20"/>
        </w:rPr>
        <w:t>[1]</w:t>
      </w:r>
      <w:r w:rsidR="00F42623" w:rsidRPr="00F42623">
        <w:rPr>
          <w:noProof/>
          <w:sz w:val="20"/>
        </w:rPr>
        <w:tab/>
        <w:t xml:space="preserve">E. Rodriguez-Oreggia, A. de la Fuente, R. de la Torre, and H. A. Moreno, “Natural Disasters, Human Development and Poverty at the Municipal Level in Mexico,” </w:t>
      </w:r>
      <w:r w:rsidR="00F42623" w:rsidRPr="00F42623">
        <w:rPr>
          <w:i/>
          <w:iCs/>
          <w:noProof/>
          <w:sz w:val="20"/>
        </w:rPr>
        <w:t>J. Dev. Stud.</w:t>
      </w:r>
      <w:r w:rsidR="00F42623" w:rsidRPr="00F42623">
        <w:rPr>
          <w:noProof/>
          <w:sz w:val="20"/>
        </w:rPr>
        <w:t>, 2013, doi: 10.1080/00220388.2012.700398.</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[2]</w:t>
      </w:r>
      <w:r w:rsidRPr="00F42623">
        <w:rPr>
          <w:noProof/>
          <w:sz w:val="20"/>
        </w:rPr>
        <w:tab/>
        <w:t>“Update Tsunami Selat Sunda 426 orang Meninggal Dunia, 7202 luka-luka,” 2018. https://nasional.kompas.com/read/2018/12/28/15102481/update-tsunami-selat-sunda-426-orang-meninggal-dunia-7202-luka-luka-dan-23 (accessed Jun. 25,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[3]</w:t>
      </w:r>
      <w:r w:rsidRPr="00F42623">
        <w:rPr>
          <w:noProof/>
          <w:sz w:val="20"/>
        </w:rPr>
        <w:tab/>
        <w:t>“Hitungan Sementara Kerugian Akibat Tsunami Selat Sunda Capai Rp.202 M,” 2019. https://www.tribunnews.com/regional/2019/01/16/berdasarkan-hitungan-sementara-kerugian-akibat-tsunami-selat-sunda-capai-rp-202-m (accessed Jun. 25,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[4]</w:t>
      </w:r>
      <w:r w:rsidRPr="00F42623">
        <w:rPr>
          <w:noProof/>
          <w:sz w:val="20"/>
        </w:rPr>
        <w:tab/>
        <w:t>“Infografis Badan Nasional Penanggulangan Bencana,” 2019. https://bnpb.go.id/uploads/24/2019-01-22-infografis-selat-sunda-1.jpg (accessed Jun. 25,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[5]</w:t>
      </w:r>
      <w:r w:rsidRPr="00F42623">
        <w:rPr>
          <w:noProof/>
          <w:sz w:val="20"/>
        </w:rPr>
        <w:tab/>
        <w:t>“Pemkab Lamsel Siapkan 537 Unit Hunian Sementara Korban Bencana,” 2019. https://www.lampost.co/berita-pemkab-lamsel-siapkan-537-unit-hunian-sementara-korban-bencana.html  (accessed Jun. 25,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[6]</w:t>
      </w:r>
      <w:r w:rsidRPr="00F42623">
        <w:rPr>
          <w:noProof/>
          <w:sz w:val="20"/>
        </w:rPr>
        <w:tab/>
        <w:t xml:space="preserve">J. Draper and C. McKinnon, “The ethics of climate-induced community displacement and resettlement,” </w:t>
      </w:r>
      <w:r w:rsidRPr="00F42623">
        <w:rPr>
          <w:i/>
          <w:iCs/>
          <w:noProof/>
          <w:sz w:val="20"/>
        </w:rPr>
        <w:t>Wiley Interdiscip. Rev. Clim. Chang.</w:t>
      </w:r>
      <w:r w:rsidRPr="00F42623">
        <w:rPr>
          <w:noProof/>
          <w:sz w:val="20"/>
        </w:rPr>
        <w:t>, 2018, doi: 10.1002/wcc.519.</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[7]</w:t>
      </w:r>
      <w:r w:rsidRPr="00F42623">
        <w:rPr>
          <w:noProof/>
          <w:sz w:val="20"/>
        </w:rPr>
        <w:tab/>
        <w:t>H. P. Wiratraman, “Penelitian Socio-Legal dan Konsekuensi Metodologisnya,” 2000. https://herlambangperdana.files.wordpress.com/2008/06/penelitian-sosio-legal-dalam-tun.pdf.</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[8]</w:t>
      </w:r>
      <w:r w:rsidRPr="00F42623">
        <w:rPr>
          <w:noProof/>
          <w:sz w:val="20"/>
        </w:rPr>
        <w:tab/>
        <w:t xml:space="preserve">B. D. Anggono, “Harmonisasi Peraturan Perundang-undangan di Bidang Penanggulangan Bencana,” </w:t>
      </w:r>
      <w:r w:rsidRPr="00F42623">
        <w:rPr>
          <w:i/>
          <w:iCs/>
          <w:noProof/>
          <w:sz w:val="20"/>
        </w:rPr>
        <w:t>J. Mimb. Huk. Fak. Huk. Univ. Gadjah Mada</w:t>
      </w:r>
      <w:r w:rsidRPr="00F42623">
        <w:rPr>
          <w:noProof/>
          <w:sz w:val="20"/>
        </w:rPr>
        <w:t>, vol. 22, no. 2, p. 1, 2012, [Online]. Available: http://mimbar.hukum.ugm.ac.id/index.php/jmh/article/view/295%0Ahttp://mimbar.hukum.ugm.ac.id/index.php/jmh/article/download/295/150.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[9]</w:t>
      </w:r>
      <w:r w:rsidRPr="00F42623">
        <w:rPr>
          <w:noProof/>
          <w:sz w:val="20"/>
        </w:rPr>
        <w:tab/>
        <w:t>“Pemerintah Segera Bangun Rumah Untuk Korban Tsunami Di Lamsel,” 2019. https://tirto.id/pemerintah-segera-bangun-rumah-untuk-korban-tsunami-di-lamsel-dfjU (accessed Jun. 26,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[10]</w:t>
      </w:r>
      <w:r w:rsidRPr="00F42623">
        <w:rPr>
          <w:noProof/>
          <w:sz w:val="20"/>
        </w:rPr>
        <w:tab/>
        <w:t>“Resettlement,” 2020. https://www.collinsdictionary.com/dictionary/english/resettlement  (accessed Jun. 26,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[11]</w:t>
      </w:r>
      <w:r w:rsidRPr="00F42623">
        <w:rPr>
          <w:noProof/>
          <w:sz w:val="20"/>
        </w:rPr>
        <w:tab/>
        <w:t xml:space="preserve">T. Berman, </w:t>
      </w:r>
      <w:r w:rsidRPr="00F42623">
        <w:rPr>
          <w:i/>
          <w:iCs/>
          <w:noProof/>
          <w:sz w:val="20"/>
        </w:rPr>
        <w:t>Public participation as a tool for integrating local knowledge into spatial planning: Planning, participation, and knowledge</w:t>
      </w:r>
      <w:r w:rsidRPr="00F42623">
        <w:rPr>
          <w:noProof/>
          <w:sz w:val="20"/>
        </w:rPr>
        <w:t>. 2016.</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[12]</w:t>
      </w:r>
      <w:r w:rsidRPr="00F42623">
        <w:rPr>
          <w:noProof/>
          <w:sz w:val="20"/>
        </w:rPr>
        <w:tab/>
        <w:t xml:space="preserve">J. L. Creighton, “The public participation handbook : making better decisions through </w:t>
      </w:r>
      <w:r w:rsidRPr="00F42623">
        <w:rPr>
          <w:noProof/>
          <w:sz w:val="20"/>
        </w:rPr>
        <w:lastRenderedPageBreak/>
        <w:t xml:space="preserve">citizen involvement,” </w:t>
      </w:r>
      <w:r w:rsidRPr="00F42623">
        <w:rPr>
          <w:i/>
          <w:iCs/>
          <w:noProof/>
          <w:sz w:val="20"/>
        </w:rPr>
        <w:t>J. Ratchasuda Coll. Res. Dev. Pers. With Disabil.</w:t>
      </w:r>
      <w:r w:rsidRPr="00F42623">
        <w:rPr>
          <w:noProof/>
          <w:sz w:val="20"/>
        </w:rPr>
        <w:t>, 2005.</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[13]</w:t>
      </w:r>
      <w:r w:rsidRPr="00F42623">
        <w:rPr>
          <w:noProof/>
          <w:sz w:val="20"/>
        </w:rPr>
        <w:tab/>
        <w:t xml:space="preserve">H. A. Becker and F. Vanclay, </w:t>
      </w:r>
      <w:r w:rsidRPr="00F42623">
        <w:rPr>
          <w:i/>
          <w:iCs/>
          <w:noProof/>
          <w:sz w:val="20"/>
        </w:rPr>
        <w:t>The international handbook of social impact assessment: Conceptual and methodological advances</w:t>
      </w:r>
      <w:r w:rsidRPr="00F42623">
        <w:rPr>
          <w:noProof/>
          <w:sz w:val="20"/>
        </w:rPr>
        <w:t>. 2003.</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[14]</w:t>
      </w:r>
      <w:r w:rsidRPr="00F42623">
        <w:rPr>
          <w:noProof/>
          <w:sz w:val="20"/>
        </w:rPr>
        <w:tab/>
        <w:t>Dyah and G. Pratiwi, “Penerapan Metode Social Impact Assessment dalam Pelaksanaan Tanggung Jawab Sosial Perusahaan ( Studi Kasus Pelaksanaan CSR di Artha Graha Peduli ) Penerapan Metode Social Impact Assessment dalam Pelaksanaan Tanggung Jawab Sosial Perusahaan,” Indonesia University, 2012.</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[15]</w:t>
      </w:r>
      <w:r w:rsidRPr="00F42623">
        <w:rPr>
          <w:noProof/>
          <w:sz w:val="20"/>
        </w:rPr>
        <w:tab/>
        <w:t>S. Oktapani, “RAKYAT INDONESIA BERDASARKAN UU SJSN DAN UNDANG-UNDANG BPJS POLITICS OF LAW THE FULFILLMENT OF THE RIGHT TO HEALTH FOR THE INDONESIAN PEOPLE BASED ON THE,” vol. 8, no. 1,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[16]</w:t>
      </w:r>
      <w:r w:rsidRPr="00F42623">
        <w:rPr>
          <w:noProof/>
          <w:sz w:val="20"/>
        </w:rPr>
        <w:tab/>
        <w:t>“Geliat Kehidupan Warga Lampung Selatan Pasca Tsunami Selat Sunda,” 2019. https://regional.kompas.com/read/2019/03/18/11050521/geliat-kehidupan-warga-lampung-selatan-pasca-tsunami-selat-sunda?page=all  (accessed Jun. 26,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[17]</w:t>
      </w:r>
      <w:r w:rsidRPr="00F42623">
        <w:rPr>
          <w:noProof/>
          <w:sz w:val="20"/>
        </w:rPr>
        <w:tab/>
        <w:t>“Huntara di Desa Kunjir Mulai Dibongkar,” 2020. https://www.lampost.co/berita-huntara-di-desa-kunjir-mulai-dibongkar.html  (accessed Jul. 10,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[18]</w:t>
      </w:r>
      <w:r w:rsidRPr="00F42623">
        <w:rPr>
          <w:noProof/>
          <w:sz w:val="20"/>
        </w:rPr>
        <w:tab/>
        <w:t>“Tak Punya Aset, Pemkab Kesulitan Bangun Huntara,” 2019. http://www.radarlamsel.com/tak-punya-aset-pemkab-kesulitan-bangun-huntara (accessed Jun. 25,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[19]</w:t>
      </w:r>
      <w:r w:rsidRPr="00F42623">
        <w:rPr>
          <w:noProof/>
          <w:sz w:val="20"/>
        </w:rPr>
        <w:tab/>
        <w:t>“Penyintas Tsunami di Sukaraja Lamsel Minta Tambahan Sanitasi,” 2019. https://www.cendananews.com/2019/04/penyintas-tsunami-di-huntara-sukaraja-lamsel-minta-tambahan-sanitasi.html  (accessed Jul. 10, 2020).</w:t>
      </w:r>
    </w:p>
    <w:p w:rsidR="00F42623" w:rsidRPr="00F42623" w:rsidRDefault="00F42623" w:rsidP="00F42623">
      <w:pPr>
        <w:widowControl w:val="0"/>
        <w:autoSpaceDE w:val="0"/>
        <w:autoSpaceDN w:val="0"/>
        <w:adjustRightInd w:val="0"/>
        <w:spacing w:before="120" w:after="120"/>
        <w:ind w:left="640" w:hanging="640"/>
        <w:rPr>
          <w:noProof/>
          <w:sz w:val="20"/>
        </w:rPr>
      </w:pPr>
      <w:r w:rsidRPr="00F42623">
        <w:rPr>
          <w:noProof/>
          <w:sz w:val="20"/>
        </w:rPr>
        <w:t>[20]</w:t>
      </w:r>
      <w:r w:rsidRPr="00F42623">
        <w:rPr>
          <w:noProof/>
          <w:sz w:val="20"/>
        </w:rPr>
        <w:tab/>
        <w:t>“Warga Diminta Tetap Menempati Huntara Di Waymuli Timur,” 2020. https://www.lampost.co/berita-warga-diminta-tetap-menempati-huntara-di-way-muli-timur.html  (accessed Jul. 10, 2020).</w:t>
      </w:r>
    </w:p>
    <w:p w:rsidR="005A29A8" w:rsidRDefault="002B0946" w:rsidP="002B0946">
      <w:pPr>
        <w:pStyle w:val="Badan"/>
        <w:tabs>
          <w:tab w:val="left" w:pos="1361"/>
          <w:tab w:val="left" w:pos="1531"/>
          <w:tab w:val="left" w:pos="1701"/>
          <w:tab w:val="left" w:pos="1871"/>
          <w:tab w:val="left" w:pos="2041"/>
          <w:tab w:val="left" w:pos="2211"/>
          <w:tab w:val="left" w:pos="2381"/>
          <w:tab w:val="left" w:pos="2552"/>
        </w:tabs>
        <w:spacing w:before="120" w:after="120"/>
      </w:pPr>
      <w:r>
        <w:fldChar w:fldCharType="end"/>
      </w:r>
    </w:p>
    <w:sectPr w:rsidR="005A29A8">
      <w:headerReference w:type="default" r:id="rId14"/>
      <w:headerReference w:type="first" r:id="rId15"/>
      <w:pgSz w:w="11900" w:h="16840"/>
      <w:pgMar w:top="2835" w:right="2155" w:bottom="2835" w:left="215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81" w:rsidRDefault="00090581">
      <w:r>
        <w:separator/>
      </w:r>
    </w:p>
  </w:endnote>
  <w:endnote w:type="continuationSeparator" w:id="0">
    <w:p w:rsidR="00090581" w:rsidRDefault="0009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81" w:rsidRDefault="00090581">
      <w:r>
        <w:separator/>
      </w:r>
    </w:p>
  </w:footnote>
  <w:footnote w:type="continuationSeparator" w:id="0">
    <w:p w:rsidR="00090581" w:rsidRDefault="00090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9A8" w:rsidRDefault="00A31D59">
    <w:pPr>
      <w:pStyle w:val="HeaderFooter"/>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301C7047" id="officeArt object" o:spid="_x0000_s1026"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9A8" w:rsidRDefault="00A31D59">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9C6CFEE"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48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4&#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BQqJ48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A8"/>
    <w:rsid w:val="00061357"/>
    <w:rsid w:val="00090581"/>
    <w:rsid w:val="002B0946"/>
    <w:rsid w:val="002D0443"/>
    <w:rsid w:val="003F4DA5"/>
    <w:rsid w:val="00446F44"/>
    <w:rsid w:val="005A29A8"/>
    <w:rsid w:val="005C54C2"/>
    <w:rsid w:val="008537BB"/>
    <w:rsid w:val="009F23CE"/>
    <w:rsid w:val="00A31D59"/>
    <w:rsid w:val="00A52CC1"/>
    <w:rsid w:val="00A577A9"/>
    <w:rsid w:val="00AB639A"/>
    <w:rsid w:val="00B636B1"/>
    <w:rsid w:val="00B7126F"/>
    <w:rsid w:val="00BC1EB9"/>
    <w:rsid w:val="00C706F3"/>
    <w:rsid w:val="00C95505"/>
    <w:rsid w:val="00C958E6"/>
    <w:rsid w:val="00F154ED"/>
    <w:rsid w:val="00F42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A03880-3A3C-4A40-BB8D-9C297330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adan">
    <w:name w:val="Badan"/>
    <w:rPr>
      <w:rFonts w:cs="Arial Unicode MS"/>
      <w:color w:val="000000"/>
      <w:u w:color="000000"/>
      <w14:textOutline w14:w="0" w14:cap="flat" w14:cmpd="sng" w14:algn="ctr">
        <w14:noFill/>
        <w14:prstDash w14:val="solid"/>
        <w14:bevel/>
      </w14:textOutline>
    </w:rPr>
  </w:style>
  <w:style w:type="paragraph" w:styleId="FootnoteText">
    <w:name w:val="footnote text"/>
    <w:basedOn w:val="Normal"/>
    <w:link w:val="FootnoteTextChar"/>
    <w:uiPriority w:val="99"/>
    <w:unhideWhenUsed/>
    <w:rsid w:val="00B7126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0"/>
      <w:szCs w:val="20"/>
      <w:bdr w:val="none" w:sz="0" w:space="0" w:color="auto"/>
    </w:rPr>
  </w:style>
  <w:style w:type="character" w:customStyle="1" w:styleId="FootnoteTextChar">
    <w:name w:val="Footnote Text Char"/>
    <w:basedOn w:val="DefaultParagraphFont"/>
    <w:link w:val="FootnoteText"/>
    <w:uiPriority w:val="99"/>
    <w:rsid w:val="00B7126F"/>
    <w:rPr>
      <w:rFonts w:ascii="Calibri" w:eastAsia="Calibri" w:hAnsi="Calibri" w:cs="Calibri"/>
      <w:bdr w:val="none" w:sz="0" w:space="0" w:color="auto"/>
    </w:rPr>
  </w:style>
  <w:style w:type="character" w:styleId="FootnoteReference">
    <w:name w:val="footnote reference"/>
    <w:basedOn w:val="DefaultParagraphFont"/>
    <w:uiPriority w:val="99"/>
    <w:semiHidden/>
    <w:unhideWhenUsed/>
    <w:rsid w:val="00B7126F"/>
    <w:rPr>
      <w:vertAlign w:val="superscript"/>
    </w:rPr>
  </w:style>
  <w:style w:type="paragraph" w:styleId="Subtitle">
    <w:name w:val="Subtitle"/>
    <w:basedOn w:val="Normal"/>
    <w:next w:val="Normal"/>
    <w:link w:val="SubtitleChar"/>
    <w:rsid w:val="009F23CE"/>
    <w:pPr>
      <w:keepNext/>
      <w:keepLines/>
      <w:pBdr>
        <w:bar w:val="none" w:sz="0" w:color="auto"/>
      </w:pBdr>
      <w:spacing w:before="360" w:after="80" w:line="276" w:lineRule="auto"/>
    </w:pPr>
    <w:rPr>
      <w:rFonts w:ascii="Georgia" w:eastAsia="Georgia" w:hAnsi="Georgia" w:cs="Georgia"/>
      <w:i/>
      <w:color w:val="666666"/>
      <w:sz w:val="48"/>
      <w:szCs w:val="48"/>
      <w:bdr w:val="none" w:sz="0" w:space="0" w:color="auto"/>
    </w:rPr>
  </w:style>
  <w:style w:type="character" w:customStyle="1" w:styleId="SubtitleChar">
    <w:name w:val="Subtitle Char"/>
    <w:basedOn w:val="DefaultParagraphFont"/>
    <w:link w:val="Subtitle"/>
    <w:rsid w:val="009F23CE"/>
    <w:rPr>
      <w:rFonts w:ascii="Georgia" w:eastAsia="Georgia" w:hAnsi="Georgia" w:cs="Georgia"/>
      <w:i/>
      <w:color w:val="66666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00178">
      <w:bodyDiv w:val="1"/>
      <w:marLeft w:val="0"/>
      <w:marRight w:val="0"/>
      <w:marTop w:val="0"/>
      <w:marBottom w:val="0"/>
      <w:divBdr>
        <w:top w:val="none" w:sz="0" w:space="0" w:color="auto"/>
        <w:left w:val="none" w:sz="0" w:space="0" w:color="auto"/>
        <w:bottom w:val="none" w:sz="0" w:space="0" w:color="auto"/>
        <w:right w:val="none" w:sz="0" w:space="0" w:color="auto"/>
      </w:divBdr>
      <w:divsChild>
        <w:div w:id="203493510">
          <w:marLeft w:val="547"/>
          <w:marRight w:val="0"/>
          <w:marTop w:val="0"/>
          <w:marBottom w:val="0"/>
          <w:divBdr>
            <w:top w:val="none" w:sz="0" w:space="0" w:color="auto"/>
            <w:left w:val="none" w:sz="0" w:space="0" w:color="auto"/>
            <w:bottom w:val="none" w:sz="0" w:space="0" w:color="auto"/>
            <w:right w:val="none" w:sz="0" w:space="0" w:color="auto"/>
          </w:divBdr>
        </w:div>
        <w:div w:id="29603155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kib97@yahoo.co.id2"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mailto:%7bthio.haikal97@gmail.com1"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538D7-44EE-4A07-B766-21CA2491B7F0}"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9EBA907A-6128-417D-860B-0DD839A7E3EF}">
      <dgm:prSet phldrT="[Text]" custT="1"/>
      <dgm:spPr/>
      <dgm:t>
        <a:bodyPr/>
        <a:lstStyle/>
        <a:p>
          <a:r>
            <a:rPr lang="en-US" sz="1000" i="1">
              <a:latin typeface="Times New Roman" panose="02020603050405020304" pitchFamily="18" charset="0"/>
              <a:cs typeface="Times New Roman" panose="02020603050405020304" pitchFamily="18" charset="0"/>
            </a:rPr>
            <a:t>Decision Making</a:t>
          </a:r>
          <a:r>
            <a:rPr lang="en-US" sz="1000">
              <a:latin typeface="Times New Roman" panose="02020603050405020304" pitchFamily="18" charset="0"/>
              <a:cs typeface="Times New Roman" panose="02020603050405020304" pitchFamily="18" charset="0"/>
            </a:rPr>
            <a:t> </a:t>
          </a:r>
        </a:p>
      </dgm:t>
    </dgm:pt>
    <dgm:pt modelId="{7768AC9B-2B82-484B-91A8-4FB6657A8FBA}" type="parTrans" cxnId="{866645B3-E924-436C-865E-948BF1B21A72}">
      <dgm:prSet/>
      <dgm:spPr/>
      <dgm:t>
        <a:bodyPr/>
        <a:lstStyle/>
        <a:p>
          <a:endParaRPr lang="en-US"/>
        </a:p>
      </dgm:t>
    </dgm:pt>
    <dgm:pt modelId="{D76A885B-AFED-488E-A919-F948B1CC110F}" type="sibTrans" cxnId="{866645B3-E924-436C-865E-948BF1B21A72}">
      <dgm:prSet/>
      <dgm:spPr/>
      <dgm:t>
        <a:bodyPr/>
        <a:lstStyle/>
        <a:p>
          <a:endParaRPr lang="en-US"/>
        </a:p>
      </dgm:t>
    </dgm:pt>
    <dgm:pt modelId="{C912152D-B7C3-4148-A955-B001F3938E85}">
      <dgm:prSet phldrT="[Text]" custT="1"/>
      <dgm:spPr/>
      <dgm:t>
        <a:bodyPr/>
        <a:lstStyle/>
        <a:p>
          <a:r>
            <a:rPr lang="en-US" sz="1000">
              <a:latin typeface="Times New Roman" panose="02020603050405020304" pitchFamily="18" charset="0"/>
              <a:cs typeface="Times New Roman" panose="02020603050405020304" pitchFamily="18" charset="0"/>
            </a:rPr>
            <a:t>Things to be considered:</a:t>
          </a:r>
        </a:p>
      </dgm:t>
    </dgm:pt>
    <dgm:pt modelId="{40628721-C848-4CBF-A0E1-A9BE4F54327B}" type="parTrans" cxnId="{211BA117-FC42-4E86-B671-4E7B3B24F829}">
      <dgm:prSet/>
      <dgm:spPr/>
      <dgm:t>
        <a:bodyPr/>
        <a:lstStyle/>
        <a:p>
          <a:endParaRPr lang="en-US"/>
        </a:p>
      </dgm:t>
    </dgm:pt>
    <dgm:pt modelId="{43B6218A-0AD5-4B50-B4B2-C3D3A64F5E73}" type="sibTrans" cxnId="{211BA117-FC42-4E86-B671-4E7B3B24F829}">
      <dgm:prSet/>
      <dgm:spPr/>
      <dgm:t>
        <a:bodyPr/>
        <a:lstStyle/>
        <a:p>
          <a:endParaRPr lang="en-US"/>
        </a:p>
      </dgm:t>
    </dgm:pt>
    <dgm:pt modelId="{687D95F4-3B23-41D8-8450-BD0B7496F210}">
      <dgm:prSet phldrT="[Text]" custT="1"/>
      <dgm:spPr/>
      <dgm:t>
        <a:bodyPr/>
        <a:lstStyle/>
        <a:p>
          <a:r>
            <a:rPr lang="en-US" sz="1000">
              <a:latin typeface="Times New Roman" panose="02020603050405020304" pitchFamily="18" charset="0"/>
              <a:cs typeface="Times New Roman" panose="02020603050405020304" pitchFamily="18" charset="0"/>
            </a:rPr>
            <a:t>Public participation</a:t>
          </a:r>
        </a:p>
      </dgm:t>
    </dgm:pt>
    <dgm:pt modelId="{30514415-7A1C-4C0B-8714-0B91E99B9D51}" type="parTrans" cxnId="{99F9CBBF-ADE4-4EB1-99C6-9CF7A1BDE0FC}">
      <dgm:prSet/>
      <dgm:spPr/>
      <dgm:t>
        <a:bodyPr/>
        <a:lstStyle/>
        <a:p>
          <a:endParaRPr lang="en-US"/>
        </a:p>
      </dgm:t>
    </dgm:pt>
    <dgm:pt modelId="{220CDE25-9FC0-4430-AA6B-10E3AAAD95E5}" type="sibTrans" cxnId="{99F9CBBF-ADE4-4EB1-99C6-9CF7A1BDE0FC}">
      <dgm:prSet/>
      <dgm:spPr/>
      <dgm:t>
        <a:bodyPr/>
        <a:lstStyle/>
        <a:p>
          <a:endParaRPr lang="en-US"/>
        </a:p>
      </dgm:t>
    </dgm:pt>
    <dgm:pt modelId="{4C1D3E0E-1CFB-4DC0-8E83-72A424940308}">
      <dgm:prSet phldrT="[Text]" custT="1"/>
      <dgm:spPr/>
      <dgm:t>
        <a:bodyPr/>
        <a:lstStyle/>
        <a:p>
          <a:r>
            <a:rPr lang="en-US" sz="1000">
              <a:latin typeface="Times New Roman" panose="02020603050405020304" pitchFamily="18" charset="0"/>
              <a:cs typeface="Times New Roman" panose="02020603050405020304" pitchFamily="18" charset="0"/>
            </a:rPr>
            <a:t>Things to be considered: </a:t>
          </a:r>
        </a:p>
      </dgm:t>
    </dgm:pt>
    <dgm:pt modelId="{176FB546-96AC-45B1-9881-670AF92596A1}" type="parTrans" cxnId="{F0FCB721-B040-4BB8-B446-5AD498B4B493}">
      <dgm:prSet/>
      <dgm:spPr/>
      <dgm:t>
        <a:bodyPr/>
        <a:lstStyle/>
        <a:p>
          <a:endParaRPr lang="en-US"/>
        </a:p>
      </dgm:t>
    </dgm:pt>
    <dgm:pt modelId="{16C90972-3D12-49C3-9838-CCA5BEB21081}" type="sibTrans" cxnId="{F0FCB721-B040-4BB8-B446-5AD498B4B493}">
      <dgm:prSet/>
      <dgm:spPr/>
      <dgm:t>
        <a:bodyPr/>
        <a:lstStyle/>
        <a:p>
          <a:endParaRPr lang="en-US"/>
        </a:p>
      </dgm:t>
    </dgm:pt>
    <dgm:pt modelId="{87FB1F35-9822-4228-B6C6-F7F2B664E439}">
      <dgm:prSet phldrT="[Text]" custT="1"/>
      <dgm:spPr/>
      <dgm:t>
        <a:bodyPr/>
        <a:lstStyle/>
        <a:p>
          <a:r>
            <a:rPr lang="en-US" sz="1000">
              <a:latin typeface="Times New Roman" panose="02020603050405020304" pitchFamily="18" charset="0"/>
              <a:cs typeface="Times New Roman" panose="02020603050405020304" pitchFamily="18" charset="0"/>
            </a:rPr>
            <a:t>Social aspect</a:t>
          </a:r>
        </a:p>
      </dgm:t>
    </dgm:pt>
    <dgm:pt modelId="{3CAB5719-75EF-4373-82FC-650E77F7392D}" type="parTrans" cxnId="{25BE5E4C-3E43-45E4-B342-1CA5BB5612A3}">
      <dgm:prSet/>
      <dgm:spPr/>
      <dgm:t>
        <a:bodyPr/>
        <a:lstStyle/>
        <a:p>
          <a:endParaRPr lang="en-US"/>
        </a:p>
      </dgm:t>
    </dgm:pt>
    <dgm:pt modelId="{F2565B7D-BBA9-4C75-A8E8-806B4465A05B}" type="sibTrans" cxnId="{25BE5E4C-3E43-45E4-B342-1CA5BB5612A3}">
      <dgm:prSet/>
      <dgm:spPr/>
      <dgm:t>
        <a:bodyPr/>
        <a:lstStyle/>
        <a:p>
          <a:endParaRPr lang="en-US"/>
        </a:p>
      </dgm:t>
    </dgm:pt>
    <dgm:pt modelId="{234F4E27-1896-45FF-9744-AB4B313953DE}">
      <dgm:prSet phldrT="[Text]" custT="1"/>
      <dgm:spPr/>
      <dgm:t>
        <a:bodyPr/>
        <a:lstStyle/>
        <a:p>
          <a:r>
            <a:rPr lang="en-US" sz="1000">
              <a:latin typeface="Times New Roman" panose="02020603050405020304" pitchFamily="18" charset="0"/>
              <a:cs typeface="Times New Roman" panose="02020603050405020304" pitchFamily="18" charset="0"/>
            </a:rPr>
            <a:t>Economical aspect </a:t>
          </a:r>
        </a:p>
      </dgm:t>
    </dgm:pt>
    <dgm:pt modelId="{CD079914-EE60-4F9A-95AC-EAECA4E4F071}" type="parTrans" cxnId="{7245DC38-16E8-45EF-8384-BC3C40E610F2}">
      <dgm:prSet/>
      <dgm:spPr/>
      <dgm:t>
        <a:bodyPr/>
        <a:lstStyle/>
        <a:p>
          <a:endParaRPr lang="en-US"/>
        </a:p>
      </dgm:t>
    </dgm:pt>
    <dgm:pt modelId="{D6C09CA1-FF54-4481-9DF5-52471B7EE509}" type="sibTrans" cxnId="{7245DC38-16E8-45EF-8384-BC3C40E610F2}">
      <dgm:prSet/>
      <dgm:spPr/>
      <dgm:t>
        <a:bodyPr/>
        <a:lstStyle/>
        <a:p>
          <a:endParaRPr lang="en-US"/>
        </a:p>
      </dgm:t>
    </dgm:pt>
    <dgm:pt modelId="{8639692A-EC6D-4A53-B2C7-B910A034C2AE}">
      <dgm:prSet phldrT="[Text]" custT="1"/>
      <dgm:spPr/>
      <dgm:t>
        <a:bodyPr/>
        <a:lstStyle/>
        <a:p>
          <a:r>
            <a:rPr lang="en-US" sz="1000">
              <a:latin typeface="Times New Roman" panose="02020603050405020304" pitchFamily="18" charset="0"/>
              <a:cs typeface="Times New Roman" panose="02020603050405020304" pitchFamily="18" charset="0"/>
            </a:rPr>
            <a:t>Cultural aspect</a:t>
          </a:r>
        </a:p>
      </dgm:t>
    </dgm:pt>
    <dgm:pt modelId="{5829BFF1-66BA-445E-94A4-08BF8C7D05A6}" type="parTrans" cxnId="{4A8FE364-A953-46C6-BB5D-09B8A529182D}">
      <dgm:prSet/>
      <dgm:spPr/>
      <dgm:t>
        <a:bodyPr/>
        <a:lstStyle/>
        <a:p>
          <a:endParaRPr lang="en-US"/>
        </a:p>
      </dgm:t>
    </dgm:pt>
    <dgm:pt modelId="{3FF1EA3B-D873-4D84-B262-41B272A51B56}" type="sibTrans" cxnId="{4A8FE364-A953-46C6-BB5D-09B8A529182D}">
      <dgm:prSet/>
      <dgm:spPr/>
      <dgm:t>
        <a:bodyPr/>
        <a:lstStyle/>
        <a:p>
          <a:endParaRPr lang="en-US"/>
        </a:p>
      </dgm:t>
    </dgm:pt>
    <dgm:pt modelId="{F56EA8C2-D27A-4B5F-80F1-AFA2C43A77EF}">
      <dgm:prSet phldrT="[Text]" custT="1"/>
      <dgm:spPr/>
      <dgm:t>
        <a:bodyPr/>
        <a:lstStyle/>
        <a:p>
          <a:r>
            <a:rPr lang="en-US" sz="1000">
              <a:latin typeface="Times New Roman" panose="02020603050405020304" pitchFamily="18" charset="0"/>
              <a:cs typeface="Times New Roman" panose="02020603050405020304" pitchFamily="18" charset="0"/>
            </a:rPr>
            <a:t>Legal aspect</a:t>
          </a:r>
        </a:p>
      </dgm:t>
    </dgm:pt>
    <dgm:pt modelId="{DB0B0513-5C32-4D11-949C-343CEBFA030F}" type="parTrans" cxnId="{64C5A5A4-3C4D-44F6-B1F7-7EF7D38FEC43}">
      <dgm:prSet/>
      <dgm:spPr/>
      <dgm:t>
        <a:bodyPr/>
        <a:lstStyle/>
        <a:p>
          <a:endParaRPr lang="en-US"/>
        </a:p>
      </dgm:t>
    </dgm:pt>
    <dgm:pt modelId="{7D9806A1-CDB7-442B-8FE8-5479630C0A6B}" type="sibTrans" cxnId="{64C5A5A4-3C4D-44F6-B1F7-7EF7D38FEC43}">
      <dgm:prSet/>
      <dgm:spPr/>
      <dgm:t>
        <a:bodyPr/>
        <a:lstStyle/>
        <a:p>
          <a:endParaRPr lang="en-US"/>
        </a:p>
      </dgm:t>
    </dgm:pt>
    <dgm:pt modelId="{A012E913-582B-44C9-AEE7-417A453E03EA}">
      <dgm:prSet phldrT="[Text]" custT="1"/>
      <dgm:spPr/>
      <dgm:t>
        <a:bodyPr/>
        <a:lstStyle/>
        <a:p>
          <a:r>
            <a:rPr lang="en-US" sz="1000" i="1">
              <a:latin typeface="Times New Roman" panose="02020603050405020304" pitchFamily="18" charset="0"/>
              <a:cs typeface="Times New Roman" panose="02020603050405020304" pitchFamily="18" charset="0"/>
            </a:rPr>
            <a:t>Implementation</a:t>
          </a:r>
        </a:p>
      </dgm:t>
    </dgm:pt>
    <dgm:pt modelId="{5D5B6221-3B72-4DCF-92E0-2B0B6F515F6E}" type="sibTrans" cxnId="{34BDF90E-11E4-4874-A2E0-56B01F1BCEDF}">
      <dgm:prSet/>
      <dgm:spPr/>
      <dgm:t>
        <a:bodyPr/>
        <a:lstStyle/>
        <a:p>
          <a:endParaRPr lang="en-US"/>
        </a:p>
      </dgm:t>
    </dgm:pt>
    <dgm:pt modelId="{C001280D-6F14-4215-A180-0BCB441467C7}" type="parTrans" cxnId="{34BDF90E-11E4-4874-A2E0-56B01F1BCEDF}">
      <dgm:prSet/>
      <dgm:spPr/>
      <dgm:t>
        <a:bodyPr/>
        <a:lstStyle/>
        <a:p>
          <a:endParaRPr lang="en-US"/>
        </a:p>
      </dgm:t>
    </dgm:pt>
    <dgm:pt modelId="{AE5A84DD-B7B4-475C-BAC1-C96E3EF72C6B}">
      <dgm:prSet phldrT="[Text]" custT="1"/>
      <dgm:spPr/>
      <dgm:t>
        <a:bodyPr/>
        <a:lstStyle/>
        <a:p>
          <a:r>
            <a:rPr lang="en-US" sz="1000">
              <a:latin typeface="Times New Roman" panose="02020603050405020304" pitchFamily="18" charset="0"/>
              <a:cs typeface="Times New Roman" panose="02020603050405020304" pitchFamily="18" charset="0"/>
            </a:rPr>
            <a:t>Shelter and fulfillment of basic needs for victims as long as the shelter is still being built</a:t>
          </a:r>
        </a:p>
      </dgm:t>
    </dgm:pt>
    <dgm:pt modelId="{2577179C-AD8C-45EE-9FE8-D5D623E2CCA2}" type="parTrans" cxnId="{08BB52FA-FD21-4CA2-B136-F2580626E9A4}">
      <dgm:prSet/>
      <dgm:spPr/>
      <dgm:t>
        <a:bodyPr/>
        <a:lstStyle/>
        <a:p>
          <a:endParaRPr lang="en-US"/>
        </a:p>
      </dgm:t>
    </dgm:pt>
    <dgm:pt modelId="{1A58460A-EA22-46CC-8AE7-59813FB41E84}" type="sibTrans" cxnId="{08BB52FA-FD21-4CA2-B136-F2580626E9A4}">
      <dgm:prSet/>
      <dgm:spPr/>
      <dgm:t>
        <a:bodyPr/>
        <a:lstStyle/>
        <a:p>
          <a:endParaRPr lang="en-US"/>
        </a:p>
      </dgm:t>
    </dgm:pt>
    <dgm:pt modelId="{CED03161-430B-4585-9C56-6D7C589D9CA9}" type="pres">
      <dgm:prSet presAssocID="{0A9538D7-44EE-4A07-B766-21CA2491B7F0}" presName="theList" presStyleCnt="0">
        <dgm:presLayoutVars>
          <dgm:dir/>
          <dgm:animLvl val="lvl"/>
          <dgm:resizeHandles val="exact"/>
        </dgm:presLayoutVars>
      </dgm:prSet>
      <dgm:spPr/>
      <dgm:t>
        <a:bodyPr/>
        <a:lstStyle/>
        <a:p>
          <a:endParaRPr lang="en-US"/>
        </a:p>
      </dgm:t>
    </dgm:pt>
    <dgm:pt modelId="{AAA82847-5916-4F20-B146-1791B179E02F}" type="pres">
      <dgm:prSet presAssocID="{9EBA907A-6128-417D-860B-0DD839A7E3EF}" presName="compNode" presStyleCnt="0"/>
      <dgm:spPr/>
    </dgm:pt>
    <dgm:pt modelId="{065D458F-FECC-4373-B30F-C371588AFF93}" type="pres">
      <dgm:prSet presAssocID="{9EBA907A-6128-417D-860B-0DD839A7E3EF}" presName="noGeometry" presStyleCnt="0"/>
      <dgm:spPr/>
    </dgm:pt>
    <dgm:pt modelId="{E7EDFA81-48DF-48D6-9E0B-487B75074808}" type="pres">
      <dgm:prSet presAssocID="{9EBA907A-6128-417D-860B-0DD839A7E3EF}" presName="childTextVisible" presStyleLbl="bgAccFollowNode1" presStyleIdx="0" presStyleCnt="2" custScaleY="108620">
        <dgm:presLayoutVars>
          <dgm:bulletEnabled val="1"/>
        </dgm:presLayoutVars>
      </dgm:prSet>
      <dgm:spPr/>
      <dgm:t>
        <a:bodyPr/>
        <a:lstStyle/>
        <a:p>
          <a:endParaRPr lang="en-US"/>
        </a:p>
      </dgm:t>
    </dgm:pt>
    <dgm:pt modelId="{47D4F3E0-7A25-45BA-B3FC-C6F53BEEFD3D}" type="pres">
      <dgm:prSet presAssocID="{9EBA907A-6128-417D-860B-0DD839A7E3EF}" presName="childTextHidden" presStyleLbl="bgAccFollowNode1" presStyleIdx="0" presStyleCnt="2"/>
      <dgm:spPr/>
      <dgm:t>
        <a:bodyPr/>
        <a:lstStyle/>
        <a:p>
          <a:endParaRPr lang="en-US"/>
        </a:p>
      </dgm:t>
    </dgm:pt>
    <dgm:pt modelId="{F6AF3D58-A405-442E-B19E-4E7B7182BC56}" type="pres">
      <dgm:prSet presAssocID="{9EBA907A-6128-417D-860B-0DD839A7E3EF}" presName="parentText" presStyleLbl="node1" presStyleIdx="0" presStyleCnt="2">
        <dgm:presLayoutVars>
          <dgm:chMax val="1"/>
          <dgm:bulletEnabled val="1"/>
        </dgm:presLayoutVars>
      </dgm:prSet>
      <dgm:spPr/>
      <dgm:t>
        <a:bodyPr/>
        <a:lstStyle/>
        <a:p>
          <a:endParaRPr lang="en-US"/>
        </a:p>
      </dgm:t>
    </dgm:pt>
    <dgm:pt modelId="{83DCB208-BCF6-43A8-8ACC-C8C7E2A053D8}" type="pres">
      <dgm:prSet presAssocID="{9EBA907A-6128-417D-860B-0DD839A7E3EF}" presName="aSpace" presStyleCnt="0"/>
      <dgm:spPr/>
    </dgm:pt>
    <dgm:pt modelId="{761F6858-950A-47C4-8138-04DCF27067EC}" type="pres">
      <dgm:prSet presAssocID="{A012E913-582B-44C9-AEE7-417A453E03EA}" presName="compNode" presStyleCnt="0"/>
      <dgm:spPr/>
    </dgm:pt>
    <dgm:pt modelId="{FA703401-BEA0-4873-90B8-0457908A7D28}" type="pres">
      <dgm:prSet presAssocID="{A012E913-582B-44C9-AEE7-417A453E03EA}" presName="noGeometry" presStyleCnt="0"/>
      <dgm:spPr/>
    </dgm:pt>
    <dgm:pt modelId="{B5E98800-18E3-4E3E-99A1-6E9C6D384439}" type="pres">
      <dgm:prSet presAssocID="{A012E913-582B-44C9-AEE7-417A453E03EA}" presName="childTextVisible" presStyleLbl="bgAccFollowNode1" presStyleIdx="1" presStyleCnt="2" custScaleY="110689">
        <dgm:presLayoutVars>
          <dgm:bulletEnabled val="1"/>
        </dgm:presLayoutVars>
      </dgm:prSet>
      <dgm:spPr/>
      <dgm:t>
        <a:bodyPr/>
        <a:lstStyle/>
        <a:p>
          <a:endParaRPr lang="en-US"/>
        </a:p>
      </dgm:t>
    </dgm:pt>
    <dgm:pt modelId="{23D27AAF-B5A1-402E-BE73-085ECACE39BC}" type="pres">
      <dgm:prSet presAssocID="{A012E913-582B-44C9-AEE7-417A453E03EA}" presName="childTextHidden" presStyleLbl="bgAccFollowNode1" presStyleIdx="1" presStyleCnt="2"/>
      <dgm:spPr/>
      <dgm:t>
        <a:bodyPr/>
        <a:lstStyle/>
        <a:p>
          <a:endParaRPr lang="en-US"/>
        </a:p>
      </dgm:t>
    </dgm:pt>
    <dgm:pt modelId="{4F444313-8E41-40FE-8E59-9CFB15A39829}" type="pres">
      <dgm:prSet presAssocID="{A012E913-582B-44C9-AEE7-417A453E03EA}" presName="parentText" presStyleLbl="node1" presStyleIdx="1" presStyleCnt="2" custScaleX="116140">
        <dgm:presLayoutVars>
          <dgm:chMax val="1"/>
          <dgm:bulletEnabled val="1"/>
        </dgm:presLayoutVars>
      </dgm:prSet>
      <dgm:spPr/>
      <dgm:t>
        <a:bodyPr/>
        <a:lstStyle/>
        <a:p>
          <a:endParaRPr lang="en-US"/>
        </a:p>
      </dgm:t>
    </dgm:pt>
  </dgm:ptLst>
  <dgm:cxnLst>
    <dgm:cxn modelId="{F0FCB721-B040-4BB8-B446-5AD498B4B493}" srcId="{A012E913-582B-44C9-AEE7-417A453E03EA}" destId="{4C1D3E0E-1CFB-4DC0-8E83-72A424940308}" srcOrd="0" destOrd="0" parTransId="{176FB546-96AC-45B1-9881-670AF92596A1}" sibTransId="{16C90972-3D12-49C3-9838-CCA5BEB21081}"/>
    <dgm:cxn modelId="{7245DC38-16E8-45EF-8384-BC3C40E610F2}" srcId="{9EBA907A-6128-417D-860B-0DD839A7E3EF}" destId="{234F4E27-1896-45FF-9744-AB4B313953DE}" srcOrd="3" destOrd="0" parTransId="{CD079914-EE60-4F9A-95AC-EAECA4E4F071}" sibTransId="{D6C09CA1-FF54-4481-9DF5-52471B7EE509}"/>
    <dgm:cxn modelId="{5BD38983-FFED-4322-8DA0-C7E73594B160}" type="presOf" srcId="{A012E913-582B-44C9-AEE7-417A453E03EA}" destId="{4F444313-8E41-40FE-8E59-9CFB15A39829}" srcOrd="0" destOrd="0" presId="urn:microsoft.com/office/officeart/2005/8/layout/hProcess6"/>
    <dgm:cxn modelId="{866645B3-E924-436C-865E-948BF1B21A72}" srcId="{0A9538D7-44EE-4A07-B766-21CA2491B7F0}" destId="{9EBA907A-6128-417D-860B-0DD839A7E3EF}" srcOrd="0" destOrd="0" parTransId="{7768AC9B-2B82-484B-91A8-4FB6657A8FBA}" sibTransId="{D76A885B-AFED-488E-A919-F948B1CC110F}"/>
    <dgm:cxn modelId="{2C040045-6BFE-4A0A-986D-97C537611B12}" type="presOf" srcId="{AE5A84DD-B7B4-475C-BAC1-C96E3EF72C6B}" destId="{23D27AAF-B5A1-402E-BE73-085ECACE39BC}" srcOrd="1" destOrd="1" presId="urn:microsoft.com/office/officeart/2005/8/layout/hProcess6"/>
    <dgm:cxn modelId="{99F9CBBF-ADE4-4EB1-99C6-9CF7A1BDE0FC}" srcId="{9EBA907A-6128-417D-860B-0DD839A7E3EF}" destId="{687D95F4-3B23-41D8-8450-BD0B7496F210}" srcOrd="1" destOrd="0" parTransId="{30514415-7A1C-4C0B-8714-0B91E99B9D51}" sibTransId="{220CDE25-9FC0-4430-AA6B-10E3AAAD95E5}"/>
    <dgm:cxn modelId="{0A184512-1F64-47A1-944E-4EEF68726810}" type="presOf" srcId="{234F4E27-1896-45FF-9744-AB4B313953DE}" destId="{E7EDFA81-48DF-48D6-9E0B-487B75074808}" srcOrd="0" destOrd="3" presId="urn:microsoft.com/office/officeart/2005/8/layout/hProcess6"/>
    <dgm:cxn modelId="{25BE5E4C-3E43-45E4-B342-1CA5BB5612A3}" srcId="{9EBA907A-6128-417D-860B-0DD839A7E3EF}" destId="{87FB1F35-9822-4228-B6C6-F7F2B664E439}" srcOrd="2" destOrd="0" parTransId="{3CAB5719-75EF-4373-82FC-650E77F7392D}" sibTransId="{F2565B7D-BBA9-4C75-A8E8-806B4465A05B}"/>
    <dgm:cxn modelId="{64C5A5A4-3C4D-44F6-B1F7-7EF7D38FEC43}" srcId="{9EBA907A-6128-417D-860B-0DD839A7E3EF}" destId="{F56EA8C2-D27A-4B5F-80F1-AFA2C43A77EF}" srcOrd="5" destOrd="0" parTransId="{DB0B0513-5C32-4D11-949C-343CEBFA030F}" sibTransId="{7D9806A1-CDB7-442B-8FE8-5479630C0A6B}"/>
    <dgm:cxn modelId="{416469A6-6474-4DE0-A572-486E3FF9F736}" type="presOf" srcId="{4C1D3E0E-1CFB-4DC0-8E83-72A424940308}" destId="{B5E98800-18E3-4E3E-99A1-6E9C6D384439}" srcOrd="0" destOrd="0" presId="urn:microsoft.com/office/officeart/2005/8/layout/hProcess6"/>
    <dgm:cxn modelId="{4A8FE364-A953-46C6-BB5D-09B8A529182D}" srcId="{9EBA907A-6128-417D-860B-0DD839A7E3EF}" destId="{8639692A-EC6D-4A53-B2C7-B910A034C2AE}" srcOrd="4" destOrd="0" parTransId="{5829BFF1-66BA-445E-94A4-08BF8C7D05A6}" sibTransId="{3FF1EA3B-D873-4D84-B262-41B272A51B56}"/>
    <dgm:cxn modelId="{34BDF90E-11E4-4874-A2E0-56B01F1BCEDF}" srcId="{0A9538D7-44EE-4A07-B766-21CA2491B7F0}" destId="{A012E913-582B-44C9-AEE7-417A453E03EA}" srcOrd="1" destOrd="0" parTransId="{C001280D-6F14-4215-A180-0BCB441467C7}" sibTransId="{5D5B6221-3B72-4DCF-92E0-2B0B6F515F6E}"/>
    <dgm:cxn modelId="{7E9FD1F0-8D1A-4452-8C5A-63F606BB8FC8}" type="presOf" srcId="{8639692A-EC6D-4A53-B2C7-B910A034C2AE}" destId="{E7EDFA81-48DF-48D6-9E0B-487B75074808}" srcOrd="0" destOrd="4" presId="urn:microsoft.com/office/officeart/2005/8/layout/hProcess6"/>
    <dgm:cxn modelId="{08BB52FA-FD21-4CA2-B136-F2580626E9A4}" srcId="{A012E913-582B-44C9-AEE7-417A453E03EA}" destId="{AE5A84DD-B7B4-475C-BAC1-C96E3EF72C6B}" srcOrd="1" destOrd="0" parTransId="{2577179C-AD8C-45EE-9FE8-D5D623E2CCA2}" sibTransId="{1A58460A-EA22-46CC-8AE7-59813FB41E84}"/>
    <dgm:cxn modelId="{CC55D3B8-BEF8-43B7-85C1-AF126BBA7D0B}" type="presOf" srcId="{0A9538D7-44EE-4A07-B766-21CA2491B7F0}" destId="{CED03161-430B-4585-9C56-6D7C589D9CA9}" srcOrd="0" destOrd="0" presId="urn:microsoft.com/office/officeart/2005/8/layout/hProcess6"/>
    <dgm:cxn modelId="{FBEABA4B-A684-451D-B088-1F03AF3C5DDB}" type="presOf" srcId="{C912152D-B7C3-4148-A955-B001F3938E85}" destId="{E7EDFA81-48DF-48D6-9E0B-487B75074808}" srcOrd="0" destOrd="0" presId="urn:microsoft.com/office/officeart/2005/8/layout/hProcess6"/>
    <dgm:cxn modelId="{7C6FAEA1-D811-462C-95F8-906CD872563F}" type="presOf" srcId="{87FB1F35-9822-4228-B6C6-F7F2B664E439}" destId="{47D4F3E0-7A25-45BA-B3FC-C6F53BEEFD3D}" srcOrd="1" destOrd="2" presId="urn:microsoft.com/office/officeart/2005/8/layout/hProcess6"/>
    <dgm:cxn modelId="{7946FDBB-3E0A-4A07-BC88-D84ABF69A1FF}" type="presOf" srcId="{687D95F4-3B23-41D8-8450-BD0B7496F210}" destId="{47D4F3E0-7A25-45BA-B3FC-C6F53BEEFD3D}" srcOrd="1" destOrd="1" presId="urn:microsoft.com/office/officeart/2005/8/layout/hProcess6"/>
    <dgm:cxn modelId="{7C899561-7B03-44FC-AE3B-92F5E95BABE7}" type="presOf" srcId="{F56EA8C2-D27A-4B5F-80F1-AFA2C43A77EF}" destId="{47D4F3E0-7A25-45BA-B3FC-C6F53BEEFD3D}" srcOrd="1" destOrd="5" presId="urn:microsoft.com/office/officeart/2005/8/layout/hProcess6"/>
    <dgm:cxn modelId="{AAA2E821-5201-42F6-9CDB-2F4054925582}" type="presOf" srcId="{C912152D-B7C3-4148-A955-B001F3938E85}" destId="{47D4F3E0-7A25-45BA-B3FC-C6F53BEEFD3D}" srcOrd="1" destOrd="0" presId="urn:microsoft.com/office/officeart/2005/8/layout/hProcess6"/>
    <dgm:cxn modelId="{24E4D4EA-B837-48B3-89DF-5893CBA319DB}" type="presOf" srcId="{687D95F4-3B23-41D8-8450-BD0B7496F210}" destId="{E7EDFA81-48DF-48D6-9E0B-487B75074808}" srcOrd="0" destOrd="1" presId="urn:microsoft.com/office/officeart/2005/8/layout/hProcess6"/>
    <dgm:cxn modelId="{14EDCD9E-9DA0-454C-9230-8DD0B2C9EBAB}" type="presOf" srcId="{8639692A-EC6D-4A53-B2C7-B910A034C2AE}" destId="{47D4F3E0-7A25-45BA-B3FC-C6F53BEEFD3D}" srcOrd="1" destOrd="4" presId="urn:microsoft.com/office/officeart/2005/8/layout/hProcess6"/>
    <dgm:cxn modelId="{44CA51FF-E4A4-46A4-B59F-F0FECF0270BD}" type="presOf" srcId="{AE5A84DD-B7B4-475C-BAC1-C96E3EF72C6B}" destId="{B5E98800-18E3-4E3E-99A1-6E9C6D384439}" srcOrd="0" destOrd="1" presId="urn:microsoft.com/office/officeart/2005/8/layout/hProcess6"/>
    <dgm:cxn modelId="{111F70C3-C068-46A0-9E49-EC4851E0BA6C}" type="presOf" srcId="{4C1D3E0E-1CFB-4DC0-8E83-72A424940308}" destId="{23D27AAF-B5A1-402E-BE73-085ECACE39BC}" srcOrd="1" destOrd="0" presId="urn:microsoft.com/office/officeart/2005/8/layout/hProcess6"/>
    <dgm:cxn modelId="{87A2E853-5DED-4A97-B5D0-0A3A38CCEC24}" type="presOf" srcId="{87FB1F35-9822-4228-B6C6-F7F2B664E439}" destId="{E7EDFA81-48DF-48D6-9E0B-487B75074808}" srcOrd="0" destOrd="2" presId="urn:microsoft.com/office/officeart/2005/8/layout/hProcess6"/>
    <dgm:cxn modelId="{6F62D5D5-2344-413B-99B7-2409421DA270}" type="presOf" srcId="{234F4E27-1896-45FF-9744-AB4B313953DE}" destId="{47D4F3E0-7A25-45BA-B3FC-C6F53BEEFD3D}" srcOrd="1" destOrd="3" presId="urn:microsoft.com/office/officeart/2005/8/layout/hProcess6"/>
    <dgm:cxn modelId="{947A3F2D-6DD2-41E9-97CF-BED68C15E9DB}" type="presOf" srcId="{9EBA907A-6128-417D-860B-0DD839A7E3EF}" destId="{F6AF3D58-A405-442E-B19E-4E7B7182BC56}" srcOrd="0" destOrd="0" presId="urn:microsoft.com/office/officeart/2005/8/layout/hProcess6"/>
    <dgm:cxn modelId="{EAF9C5CD-005B-4DC6-A5CE-A6C62F5507E5}" type="presOf" srcId="{F56EA8C2-D27A-4B5F-80F1-AFA2C43A77EF}" destId="{E7EDFA81-48DF-48D6-9E0B-487B75074808}" srcOrd="0" destOrd="5" presId="urn:microsoft.com/office/officeart/2005/8/layout/hProcess6"/>
    <dgm:cxn modelId="{211BA117-FC42-4E86-B671-4E7B3B24F829}" srcId="{9EBA907A-6128-417D-860B-0DD839A7E3EF}" destId="{C912152D-B7C3-4148-A955-B001F3938E85}" srcOrd="0" destOrd="0" parTransId="{40628721-C848-4CBF-A0E1-A9BE4F54327B}" sibTransId="{43B6218A-0AD5-4B50-B4B2-C3D3A64F5E73}"/>
    <dgm:cxn modelId="{22B6A645-A6E3-4D79-A8E8-15F3174B2EB9}" type="presParOf" srcId="{CED03161-430B-4585-9C56-6D7C589D9CA9}" destId="{AAA82847-5916-4F20-B146-1791B179E02F}" srcOrd="0" destOrd="0" presId="urn:microsoft.com/office/officeart/2005/8/layout/hProcess6"/>
    <dgm:cxn modelId="{49BCD0DF-8ABB-41D5-A347-07B72BA77098}" type="presParOf" srcId="{AAA82847-5916-4F20-B146-1791B179E02F}" destId="{065D458F-FECC-4373-B30F-C371588AFF93}" srcOrd="0" destOrd="0" presId="urn:microsoft.com/office/officeart/2005/8/layout/hProcess6"/>
    <dgm:cxn modelId="{68448D32-556F-4550-83DB-3B09ED4FE74C}" type="presParOf" srcId="{AAA82847-5916-4F20-B146-1791B179E02F}" destId="{E7EDFA81-48DF-48D6-9E0B-487B75074808}" srcOrd="1" destOrd="0" presId="urn:microsoft.com/office/officeart/2005/8/layout/hProcess6"/>
    <dgm:cxn modelId="{A63D2844-ECE5-41D2-A3A1-C994883714AA}" type="presParOf" srcId="{AAA82847-5916-4F20-B146-1791B179E02F}" destId="{47D4F3E0-7A25-45BA-B3FC-C6F53BEEFD3D}" srcOrd="2" destOrd="0" presId="urn:microsoft.com/office/officeart/2005/8/layout/hProcess6"/>
    <dgm:cxn modelId="{00523A8E-00BA-472E-9A72-8A1E636B4EFD}" type="presParOf" srcId="{AAA82847-5916-4F20-B146-1791B179E02F}" destId="{F6AF3D58-A405-442E-B19E-4E7B7182BC56}" srcOrd="3" destOrd="0" presId="urn:microsoft.com/office/officeart/2005/8/layout/hProcess6"/>
    <dgm:cxn modelId="{546BD95D-E462-444F-B4B8-33D6D92DF00E}" type="presParOf" srcId="{CED03161-430B-4585-9C56-6D7C589D9CA9}" destId="{83DCB208-BCF6-43A8-8ACC-C8C7E2A053D8}" srcOrd="1" destOrd="0" presId="urn:microsoft.com/office/officeart/2005/8/layout/hProcess6"/>
    <dgm:cxn modelId="{A8E56C87-C4F0-4778-A8AC-8F45B4551655}" type="presParOf" srcId="{CED03161-430B-4585-9C56-6D7C589D9CA9}" destId="{761F6858-950A-47C4-8138-04DCF27067EC}" srcOrd="2" destOrd="0" presId="urn:microsoft.com/office/officeart/2005/8/layout/hProcess6"/>
    <dgm:cxn modelId="{4307C640-F213-4C53-91C9-21509200C565}" type="presParOf" srcId="{761F6858-950A-47C4-8138-04DCF27067EC}" destId="{FA703401-BEA0-4873-90B8-0457908A7D28}" srcOrd="0" destOrd="0" presId="urn:microsoft.com/office/officeart/2005/8/layout/hProcess6"/>
    <dgm:cxn modelId="{F96C4245-7DDA-4C95-84BC-9847DE098D28}" type="presParOf" srcId="{761F6858-950A-47C4-8138-04DCF27067EC}" destId="{B5E98800-18E3-4E3E-99A1-6E9C6D384439}" srcOrd="1" destOrd="0" presId="urn:microsoft.com/office/officeart/2005/8/layout/hProcess6"/>
    <dgm:cxn modelId="{68E02950-2E98-412B-818B-CAC7AE20725C}" type="presParOf" srcId="{761F6858-950A-47C4-8138-04DCF27067EC}" destId="{23D27AAF-B5A1-402E-BE73-085ECACE39BC}" srcOrd="2" destOrd="0" presId="urn:microsoft.com/office/officeart/2005/8/layout/hProcess6"/>
    <dgm:cxn modelId="{89D077B7-1966-439F-B8F8-DEA4CE528327}" type="presParOf" srcId="{761F6858-950A-47C4-8138-04DCF27067EC}" destId="{4F444313-8E41-40FE-8E59-9CFB15A39829}" srcOrd="3" destOrd="0" presId="urn:microsoft.com/office/officeart/2005/8/layout/hProcess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EDFA81-48DF-48D6-9E0B-487B75074808}">
      <dsp:nvSpPr>
        <dsp:cNvPr id="0" name=""/>
        <dsp:cNvSpPr/>
      </dsp:nvSpPr>
      <dsp:spPr>
        <a:xfrm>
          <a:off x="528171" y="52386"/>
          <a:ext cx="2106691" cy="2000252"/>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Things to be considered: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Public participation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Social aspect</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Economical aspect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Cultural aspect</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Legal aspect</a:t>
          </a:r>
        </a:p>
      </dsp:txBody>
      <dsp:txXfrm>
        <a:off x="1054844" y="352424"/>
        <a:ext cx="1027012" cy="1400176"/>
      </dsp:txXfrm>
    </dsp:sp>
    <dsp:sp modelId="{F6AF3D58-A405-442E-B19E-4E7B7182BC56}">
      <dsp:nvSpPr>
        <dsp:cNvPr id="0" name=""/>
        <dsp:cNvSpPr/>
      </dsp:nvSpPr>
      <dsp:spPr>
        <a:xfrm>
          <a:off x="1498" y="525839"/>
          <a:ext cx="1053345" cy="10533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1" kern="1200">
              <a:latin typeface="Times New Roman" panose="02020603050405020304" pitchFamily="18" charset="0"/>
              <a:cs typeface="Times New Roman" panose="02020603050405020304" pitchFamily="18" charset="0"/>
            </a:rPr>
            <a:t>Decision Making</a:t>
          </a:r>
          <a:r>
            <a:rPr lang="en-US" sz="1000" kern="1200">
              <a:latin typeface="Times New Roman" panose="02020603050405020304" pitchFamily="18" charset="0"/>
              <a:cs typeface="Times New Roman" panose="02020603050405020304" pitchFamily="18" charset="0"/>
            </a:rPr>
            <a:t> </a:t>
          </a:r>
        </a:p>
      </dsp:txBody>
      <dsp:txXfrm>
        <a:off x="155757" y="680098"/>
        <a:ext cx="744827" cy="744827"/>
      </dsp:txXfrm>
    </dsp:sp>
    <dsp:sp modelId="{B5E98800-18E3-4E3E-99A1-6E9C6D384439}">
      <dsp:nvSpPr>
        <dsp:cNvPr id="0" name=""/>
        <dsp:cNvSpPr/>
      </dsp:nvSpPr>
      <dsp:spPr>
        <a:xfrm>
          <a:off x="3378209" y="33335"/>
          <a:ext cx="2106691" cy="203835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Things to be considered: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Shelter and fulfillment of basic needs for victims as long as the shelter is still being built</a:t>
          </a:r>
        </a:p>
      </dsp:txBody>
      <dsp:txXfrm>
        <a:off x="3904882" y="339088"/>
        <a:ext cx="1027012" cy="1426847"/>
      </dsp:txXfrm>
    </dsp:sp>
    <dsp:sp modelId="{4F444313-8E41-40FE-8E59-9CFB15A39829}">
      <dsp:nvSpPr>
        <dsp:cNvPr id="0" name=""/>
        <dsp:cNvSpPr/>
      </dsp:nvSpPr>
      <dsp:spPr>
        <a:xfrm>
          <a:off x="2766531" y="525839"/>
          <a:ext cx="1223355" cy="10533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1" kern="1200">
              <a:latin typeface="Times New Roman" panose="02020603050405020304" pitchFamily="18" charset="0"/>
              <a:cs typeface="Times New Roman" panose="02020603050405020304" pitchFamily="18" charset="0"/>
            </a:rPr>
            <a:t>Implementation</a:t>
          </a:r>
        </a:p>
      </dsp:txBody>
      <dsp:txXfrm>
        <a:off x="2945687" y="680098"/>
        <a:ext cx="865043" cy="74482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D441-6B91-431E-8738-09BCE0CD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6873</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2020-09-13T11:54:00Z</dcterms:created>
  <dcterms:modified xsi:type="dcterms:W3CDTF">2020-10-02T01:42:00Z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0a37fe0d-8a90-3ad2-a337-27c7c70f115f</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http://www.zotero.org/styles/bluebook-law-review</vt:lpwstr>
  </property>
  <property fmtid="{D5CDD505-2E9C-101B-9397-08002B2CF9AE}" pid="10" name="Mendeley Recent Style Name 2_1">
    <vt:lpwstr>Bluebook Law Review</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http://www.zotero.org/styles/oscola</vt:lpwstr>
  </property>
  <property fmtid="{D5CDD505-2E9C-101B-9397-08002B2CF9AE}" pid="24" name="Mendeley Recent Style Name 9_1">
    <vt:lpwstr>OSCOLA (Oxford University Standard for Citation of Legal Authorities)</vt:lpwstr>
  </property>
</Properties>
</file>