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362EC" w:rsidRDefault="005362EC" w:rsidP="005362EC">
      <w:pPr>
        <w:jc w:val="center"/>
      </w:pPr>
      <w:r w:rsidRPr="006C5CED">
        <w:rPr>
          <w:b/>
          <w:sz w:val="32"/>
          <w:szCs w:val="32"/>
        </w:rPr>
        <w:t>The Customer Awa</w:t>
      </w:r>
      <w:r>
        <w:rPr>
          <w:b/>
          <w:sz w:val="32"/>
          <w:szCs w:val="32"/>
        </w:rPr>
        <w:t xml:space="preserve">reness and Intention of Syariah </w:t>
      </w:r>
      <w:r w:rsidRPr="006C5CED">
        <w:rPr>
          <w:b/>
          <w:sz w:val="32"/>
          <w:szCs w:val="32"/>
        </w:rPr>
        <w:t>Bank:The Role of Marketing Communications</w:t>
      </w:r>
      <w:r>
        <w:t xml:space="preserve"> </w:t>
      </w:r>
    </w:p>
    <w:p w:rsidR="00B94194" w:rsidRDefault="00B94194" w:rsidP="005362EC">
      <w:pPr>
        <w:jc w:val="center"/>
        <w:rPr>
          <w:lang w:val="id-ID"/>
        </w:rPr>
      </w:pPr>
    </w:p>
    <w:p w:rsidR="00B94194" w:rsidRDefault="00B94194" w:rsidP="005362EC">
      <w:pPr>
        <w:jc w:val="center"/>
        <w:rPr>
          <w:lang w:val="id-ID"/>
        </w:rPr>
      </w:pPr>
    </w:p>
    <w:p w:rsidR="005362EC" w:rsidRPr="006C5CED" w:rsidRDefault="005362EC" w:rsidP="005362EC">
      <w:pPr>
        <w:jc w:val="center"/>
        <w:rPr>
          <w:lang w:val="id-ID"/>
        </w:rPr>
      </w:pPr>
      <w:r w:rsidRPr="006C5CED">
        <w:rPr>
          <w:lang w:val="id-ID"/>
        </w:rPr>
        <w:t>Roslina</w:t>
      </w:r>
      <w:r w:rsidRPr="006C5CED">
        <w:rPr>
          <w:vertAlign w:val="superscript"/>
          <w:lang w:val="id-ID"/>
        </w:rPr>
        <w:t>1</w:t>
      </w:r>
      <w:r w:rsidRPr="006C5CED">
        <w:rPr>
          <w:lang w:val="id-ID"/>
        </w:rPr>
        <w:t>, Habibullah Jimad</w:t>
      </w:r>
      <w:r>
        <w:rPr>
          <w:vertAlign w:val="superscript"/>
          <w:lang w:val="id-ID"/>
        </w:rPr>
        <w:t>2</w:t>
      </w:r>
    </w:p>
    <w:p w:rsidR="005362EC" w:rsidRPr="006C5CED" w:rsidRDefault="005362EC" w:rsidP="005362EC">
      <w:pPr>
        <w:jc w:val="center"/>
        <w:rPr>
          <w:lang w:val="id-ID"/>
        </w:rPr>
      </w:pPr>
      <w:r w:rsidRPr="006C5CED">
        <w:rPr>
          <w:lang w:val="id-ID"/>
        </w:rPr>
        <w:t>(</w:t>
      </w:r>
      <w:r w:rsidRPr="005362EC">
        <w:t>roslina@feb.unila.ac.id</w:t>
      </w:r>
      <w:r w:rsidRPr="006C5CED">
        <w:rPr>
          <w:lang w:val="id-ID"/>
        </w:rPr>
        <w:t xml:space="preserve">, </w:t>
      </w:r>
      <w:r w:rsidRPr="006C5CED">
        <w:t>habibullah.jimad@feb.unila.ac.id</w:t>
      </w:r>
      <w:r w:rsidRPr="006C5CED">
        <w:rPr>
          <w:lang w:val="id-ID"/>
        </w:rPr>
        <w:t>)</w:t>
      </w:r>
    </w:p>
    <w:p w:rsidR="00850D2A" w:rsidRPr="005362EC" w:rsidRDefault="00FA5DAB">
      <w:pPr>
        <w:spacing w:before="400" w:after="120"/>
        <w:ind w:left="567" w:right="567"/>
        <w:jc w:val="both"/>
        <w:rPr>
          <w:lang w:val="id-ID"/>
        </w:rPr>
      </w:pPr>
      <w:r>
        <w:rPr>
          <w:b/>
          <w:sz w:val="18"/>
          <w:szCs w:val="18"/>
        </w:rPr>
        <w:t>Abstrak.</w:t>
      </w:r>
      <w:r>
        <w:rPr>
          <w:sz w:val="18"/>
          <w:szCs w:val="18"/>
        </w:rPr>
        <w:t xml:space="preserve"> </w:t>
      </w:r>
      <w:r w:rsidR="005362EC" w:rsidRPr="006C5CED">
        <w:t>A small number of Muslims who use Syariah banks, indicating that there are still many Muslim communities in Indonesia who do not understand the nature of Syariah banks. The purpose of this research is to examine the effect of marketing communication on the awareness and intention of customers of Syariah bank</w:t>
      </w:r>
      <w:r w:rsidR="005362EC">
        <w:t>s</w:t>
      </w:r>
      <w:r w:rsidR="005362EC" w:rsidRPr="006C5CED">
        <w:t xml:space="preserve">. This study used a survey method with college student respondents in Bandar Lampung. The sample was taken using non-probability sampling. Data analysis was performed using </w:t>
      </w:r>
      <w:r w:rsidR="005362EC">
        <w:t>SEM</w:t>
      </w:r>
      <w:r w:rsidR="005362EC" w:rsidRPr="006C5CED">
        <w:t xml:space="preserve">. The results showed that marketing communications able to provide information to students were advertising (advertisements, brochures, signboards, and banners) and direct marketing (websites Syariah bank). </w:t>
      </w:r>
      <w:r w:rsidR="005362EC" w:rsidRPr="00BE1D61">
        <w:t>Marketing communication affects customer intention to use Syariah bank products and awareness partially mediating the effect of marketing communication on customer intention to use Syariah bank products</w:t>
      </w:r>
      <w:r w:rsidR="005362EC" w:rsidRPr="006C5CED">
        <w:t>. This research is important for policymakers at Syariah banks to determine marketing communication strategies, especially for millennials</w:t>
      </w:r>
    </w:p>
    <w:p w:rsidR="00850D2A" w:rsidRDefault="00FA5DAB">
      <w:pPr>
        <w:spacing w:before="400" w:after="120"/>
        <w:ind w:left="567" w:right="567"/>
        <w:jc w:val="both"/>
      </w:pPr>
      <w:r>
        <w:rPr>
          <w:b/>
          <w:sz w:val="18"/>
          <w:szCs w:val="18"/>
        </w:rPr>
        <w:t>K</w:t>
      </w:r>
      <w:r w:rsidR="005362EC">
        <w:rPr>
          <w:b/>
          <w:sz w:val="18"/>
          <w:szCs w:val="18"/>
          <w:lang w:val="id-ID"/>
        </w:rPr>
        <w:t>eywords</w:t>
      </w:r>
      <w:r>
        <w:rPr>
          <w:b/>
          <w:sz w:val="18"/>
          <w:szCs w:val="18"/>
        </w:rPr>
        <w:t xml:space="preserve">: </w:t>
      </w:r>
      <w:r w:rsidR="005362EC">
        <w:rPr>
          <w:b/>
          <w:sz w:val="18"/>
          <w:szCs w:val="18"/>
          <w:lang w:val="id-ID"/>
        </w:rPr>
        <w:t>C</w:t>
      </w:r>
      <w:r w:rsidR="005362EC" w:rsidRPr="006C5CED">
        <w:t>ustomer awareness</w:t>
      </w:r>
      <w:r w:rsidR="005362EC">
        <w:rPr>
          <w:sz w:val="18"/>
          <w:szCs w:val="18"/>
        </w:rPr>
        <w:t xml:space="preserve"> </w:t>
      </w:r>
      <w:r w:rsidR="005362EC">
        <w:rPr>
          <w:sz w:val="18"/>
          <w:szCs w:val="18"/>
          <w:lang w:val="id-ID"/>
        </w:rPr>
        <w:t xml:space="preserve">, </w:t>
      </w:r>
      <w:r w:rsidR="005362EC" w:rsidRPr="006C5CED">
        <w:t>customer intention</w:t>
      </w:r>
      <w:r w:rsidR="005362EC">
        <w:rPr>
          <w:sz w:val="18"/>
          <w:szCs w:val="18"/>
        </w:rPr>
        <w:t xml:space="preserve">, </w:t>
      </w:r>
      <w:r w:rsidR="005362EC" w:rsidRPr="006C5CED">
        <w:t>marketing communication</w:t>
      </w:r>
      <w:r w:rsidR="005362EC">
        <w:rPr>
          <w:sz w:val="18"/>
          <w:szCs w:val="18"/>
          <w:lang w:val="id-ID"/>
        </w:rPr>
        <w:t xml:space="preserve">, </w:t>
      </w:r>
      <w:r w:rsidR="005362EC" w:rsidRPr="006C5CED">
        <w:t>Syariah banks</w:t>
      </w:r>
      <w:r>
        <w:rPr>
          <w:sz w:val="18"/>
          <w:szCs w:val="18"/>
        </w:rPr>
        <w:t>.</w:t>
      </w:r>
    </w:p>
    <w:p w:rsidR="00850D2A" w:rsidRPr="005362EC" w:rsidRDefault="00FA5DAB">
      <w:pPr>
        <w:keepNext/>
        <w:keepLines/>
        <w:tabs>
          <w:tab w:val="left" w:pos="454"/>
        </w:tabs>
        <w:spacing w:before="520" w:after="280"/>
        <w:jc w:val="both"/>
        <w:rPr>
          <w:lang w:val="id-ID"/>
        </w:rPr>
      </w:pPr>
      <w:r>
        <w:rPr>
          <w:b/>
          <w:sz w:val="24"/>
          <w:szCs w:val="24"/>
        </w:rPr>
        <w:t xml:space="preserve">1 </w:t>
      </w:r>
      <w:r w:rsidR="005362EC">
        <w:rPr>
          <w:b/>
          <w:sz w:val="24"/>
          <w:szCs w:val="24"/>
          <w:lang w:val="id-ID"/>
        </w:rPr>
        <w:t xml:space="preserve">Introduction   </w:t>
      </w:r>
    </w:p>
    <w:p w:rsidR="005362EC" w:rsidRPr="00C94975" w:rsidRDefault="005362EC" w:rsidP="00EF6857">
      <w:pPr>
        <w:pStyle w:val="ListParagraph"/>
        <w:spacing w:after="0" w:line="240" w:lineRule="auto"/>
        <w:ind w:left="0" w:firstLine="426"/>
        <w:jc w:val="both"/>
        <w:rPr>
          <w:rFonts w:ascii="Times New Roman" w:hAnsi="Times New Roman" w:cs="Times New Roman"/>
          <w:sz w:val="20"/>
          <w:szCs w:val="20"/>
        </w:rPr>
      </w:pPr>
      <w:r w:rsidRPr="006C5CED">
        <w:rPr>
          <w:rFonts w:ascii="Times New Roman" w:hAnsi="Times New Roman" w:cs="Times New Roman"/>
          <w:sz w:val="20"/>
          <w:szCs w:val="20"/>
        </w:rPr>
        <w:t xml:space="preserve">Syariah banks are categorized as banks that have followed Islamic law because their operational activities and products are developed based on the </w:t>
      </w:r>
      <w:r>
        <w:rPr>
          <w:rFonts w:ascii="Times New Roman" w:hAnsi="Times New Roman" w:cs="Times New Roman"/>
          <w:sz w:val="20"/>
          <w:szCs w:val="20"/>
          <w:lang w:val="id-ID"/>
        </w:rPr>
        <w:t>Q</w:t>
      </w:r>
      <w:r w:rsidRPr="006C5CED">
        <w:rPr>
          <w:rFonts w:ascii="Times New Roman" w:hAnsi="Times New Roman" w:cs="Times New Roman"/>
          <w:sz w:val="20"/>
          <w:szCs w:val="20"/>
        </w:rPr>
        <w:t xml:space="preserve">ur'an and the hadiths of the Prophet SAW. The increasing number of people who are aware of the halalness of a product provides opportunities for Syariah banks to continue to grow a large number of Muslim communities in Indonesia makes the opportunity for the development of Syariah banks in Indonesia even greater. In 2015, the number of Syariah banking customers in Indonesia reached more than </w:t>
      </w:r>
      <w:r>
        <w:rPr>
          <w:rFonts w:ascii="Times New Roman" w:hAnsi="Times New Roman" w:cs="Times New Roman"/>
          <w:sz w:val="20"/>
          <w:szCs w:val="20"/>
          <w:lang w:val="id-ID"/>
        </w:rPr>
        <w:t xml:space="preserve">18 </w:t>
      </w:r>
      <w:r w:rsidRPr="006C5CED">
        <w:rPr>
          <w:rFonts w:ascii="Times New Roman" w:hAnsi="Times New Roman" w:cs="Times New Roman"/>
          <w:sz w:val="20"/>
          <w:szCs w:val="20"/>
        </w:rPr>
        <w:t>million customers</w:t>
      </w:r>
      <w:r w:rsidRPr="006C5CED">
        <w:rPr>
          <w:rFonts w:ascii="Times New Roman" w:hAnsi="Times New Roman" w:cs="Times New Roman"/>
          <w:sz w:val="20"/>
          <w:szCs w:val="20"/>
          <w:lang w:val="id-ID"/>
        </w:rPr>
        <w:t xml:space="preserve"> </w:t>
      </w:r>
      <w:r w:rsidRPr="006C5CED">
        <w:rPr>
          <w:rFonts w:ascii="Times New Roman" w:hAnsi="Times New Roman" w:cs="Times New Roman"/>
          <w:sz w:val="20"/>
          <w:szCs w:val="20"/>
          <w:lang w:val="id-ID"/>
        </w:rPr>
        <w:fldChar w:fldCharType="begin" w:fldLock="1"/>
      </w:r>
      <w:r w:rsidR="009346D5">
        <w:rPr>
          <w:rFonts w:ascii="Times New Roman" w:hAnsi="Times New Roman" w:cs="Times New Roman"/>
          <w:sz w:val="20"/>
          <w:szCs w:val="20"/>
          <w:lang w:val="id-ID"/>
        </w:rPr>
        <w:instrText>ADDIN CSL_CITATION {"citationItems":[{"id":"ITEM-1","itemData":{"DOI":"10.1017/CBO9781107415324.004","ISBN":"9788578110796","ISSN":"1098-6596","PMID":"25246403","abstract":"applicability for this approach.","author":[{"dropping-particle":"","family":"Financial Service Authority","given":"","non-dropping-particle":"","parse-names":false,"suffix":""}],"container-title":"Sharia Banking Statistics 2016","id":"ITEM-1","issue":"1","issued":{"date-parts":[["2016"]]},"number-of-pages":"1-103","publisher-place":"Jakarta","title":"Sharia Banking Statistics 2016","type":"report","volume":"15"},"uris":["http://www.mendeley.com/documents/?uuid=84d31e12-96bc-43ac-9647-448f079b2d53"]}],"mendeley":{"formattedCitation":"[1]","plainTextFormattedCitation":"[1]","previouslyFormattedCitation":"[1]"},"properties":{"noteIndex":0},"schema":"https://github.com/citation-style-language/schema/raw/master/csl-citation.json"}</w:instrText>
      </w:r>
      <w:r w:rsidRPr="006C5CED">
        <w:rPr>
          <w:rFonts w:ascii="Times New Roman" w:hAnsi="Times New Roman" w:cs="Times New Roman"/>
          <w:sz w:val="20"/>
          <w:szCs w:val="20"/>
          <w:lang w:val="id-ID"/>
        </w:rPr>
        <w:fldChar w:fldCharType="separate"/>
      </w:r>
      <w:r w:rsidR="009346D5" w:rsidRPr="009346D5">
        <w:rPr>
          <w:rFonts w:ascii="Times New Roman" w:hAnsi="Times New Roman" w:cs="Times New Roman"/>
          <w:noProof/>
          <w:sz w:val="20"/>
          <w:szCs w:val="20"/>
          <w:lang w:val="id-ID"/>
        </w:rPr>
        <w:t>[1]</w:t>
      </w:r>
      <w:r w:rsidRPr="006C5CED">
        <w:rPr>
          <w:rFonts w:ascii="Times New Roman" w:hAnsi="Times New Roman" w:cs="Times New Roman"/>
          <w:sz w:val="20"/>
          <w:szCs w:val="20"/>
          <w:lang w:val="id-ID"/>
        </w:rPr>
        <w:fldChar w:fldCharType="end"/>
      </w:r>
      <w:r w:rsidRPr="006C5CED">
        <w:rPr>
          <w:rFonts w:ascii="Times New Roman" w:hAnsi="Times New Roman" w:cs="Times New Roman"/>
          <w:sz w:val="20"/>
          <w:szCs w:val="20"/>
        </w:rPr>
        <w:t>. When compared with the total population of Indonesia who is Muslim, the number of customers of Syariah banks is only 10%.</w:t>
      </w:r>
      <w:r>
        <w:rPr>
          <w:rFonts w:ascii="Times New Roman" w:hAnsi="Times New Roman" w:cs="Times New Roman"/>
          <w:sz w:val="20"/>
          <w:szCs w:val="20"/>
          <w:lang w:val="id-ID"/>
        </w:rPr>
        <w:t xml:space="preserve"> </w:t>
      </w:r>
      <w:r w:rsidRPr="006C5CED">
        <w:rPr>
          <w:rFonts w:ascii="Times New Roman" w:hAnsi="Times New Roman" w:cs="Times New Roman"/>
          <w:sz w:val="20"/>
          <w:szCs w:val="20"/>
        </w:rPr>
        <w:t xml:space="preserve">The disproportionate number of Muslims with the number of users of </w:t>
      </w:r>
      <w:r>
        <w:rPr>
          <w:rFonts w:ascii="Times New Roman" w:hAnsi="Times New Roman" w:cs="Times New Roman"/>
          <w:sz w:val="20"/>
          <w:szCs w:val="20"/>
        </w:rPr>
        <w:t>Syariah bank</w:t>
      </w:r>
      <w:r w:rsidRPr="006C5CED">
        <w:rPr>
          <w:rFonts w:ascii="Times New Roman" w:hAnsi="Times New Roman" w:cs="Times New Roman"/>
          <w:sz w:val="20"/>
          <w:szCs w:val="20"/>
        </w:rPr>
        <w:t xml:space="preserve">s indicates that there are still many Muslim communities in Indonesia who do not understand the nature of </w:t>
      </w:r>
      <w:r>
        <w:rPr>
          <w:rFonts w:ascii="Times New Roman" w:hAnsi="Times New Roman" w:cs="Times New Roman"/>
          <w:sz w:val="20"/>
          <w:szCs w:val="20"/>
        </w:rPr>
        <w:t>Syariah bank</w:t>
      </w:r>
      <w:r w:rsidRPr="006C5CED">
        <w:rPr>
          <w:rFonts w:ascii="Times New Roman" w:hAnsi="Times New Roman" w:cs="Times New Roman"/>
          <w:sz w:val="20"/>
          <w:szCs w:val="20"/>
        </w:rPr>
        <w:t xml:space="preserve">s. </w:t>
      </w:r>
      <w:r w:rsidRPr="006C5CED">
        <w:rPr>
          <w:rFonts w:ascii="Times New Roman" w:hAnsi="Times New Roman" w:cs="Times New Roman"/>
          <w:sz w:val="20"/>
          <w:szCs w:val="20"/>
          <w:lang w:val="id-ID"/>
        </w:rPr>
        <w:t>T</w:t>
      </w:r>
      <w:r w:rsidRPr="006C5CED">
        <w:rPr>
          <w:rFonts w:ascii="Times New Roman" w:hAnsi="Times New Roman" w:cs="Times New Roman"/>
          <w:sz w:val="20"/>
          <w:szCs w:val="20"/>
        </w:rPr>
        <w:t xml:space="preserve">he role of the government also greatly determines the growth of </w:t>
      </w:r>
      <w:r>
        <w:rPr>
          <w:rFonts w:ascii="Times New Roman" w:hAnsi="Times New Roman" w:cs="Times New Roman"/>
          <w:sz w:val="20"/>
          <w:szCs w:val="20"/>
        </w:rPr>
        <w:t>Syariah bank</w:t>
      </w:r>
      <w:r w:rsidRPr="006C5CED">
        <w:rPr>
          <w:rFonts w:ascii="Times New Roman" w:hAnsi="Times New Roman" w:cs="Times New Roman"/>
          <w:sz w:val="20"/>
          <w:szCs w:val="20"/>
        </w:rPr>
        <w:t xml:space="preserve">s, given that the growth of </w:t>
      </w:r>
      <w:r>
        <w:rPr>
          <w:rFonts w:ascii="Times New Roman" w:hAnsi="Times New Roman" w:cs="Times New Roman"/>
          <w:sz w:val="20"/>
          <w:szCs w:val="20"/>
        </w:rPr>
        <w:t>Syariah bank</w:t>
      </w:r>
      <w:r w:rsidRPr="006C5CED">
        <w:rPr>
          <w:rFonts w:ascii="Times New Roman" w:hAnsi="Times New Roman" w:cs="Times New Roman"/>
          <w:sz w:val="20"/>
          <w:szCs w:val="20"/>
        </w:rPr>
        <w:t xml:space="preserve">s in Malaysia and countries in the Middle East cannot be separated from the role of the government. The existence of an assumption that profit sharing is not different </w:t>
      </w:r>
      <w:r>
        <w:rPr>
          <w:rFonts w:ascii="Times New Roman" w:hAnsi="Times New Roman" w:cs="Times New Roman"/>
          <w:sz w:val="20"/>
          <w:szCs w:val="20"/>
        </w:rPr>
        <w:t xml:space="preserve">from interest, banking products, </w:t>
      </w:r>
      <w:r w:rsidRPr="006C5CED">
        <w:rPr>
          <w:rFonts w:ascii="Times New Roman" w:hAnsi="Times New Roman" w:cs="Times New Roman"/>
          <w:sz w:val="20"/>
          <w:szCs w:val="20"/>
        </w:rPr>
        <w:t xml:space="preserve">and services that are considered to be still not good, as well as the existence of terms that use Arabic in </w:t>
      </w:r>
      <w:r>
        <w:rPr>
          <w:rFonts w:ascii="Times New Roman" w:hAnsi="Times New Roman" w:cs="Times New Roman"/>
          <w:sz w:val="20"/>
          <w:szCs w:val="20"/>
        </w:rPr>
        <w:t>Syariah bank</w:t>
      </w:r>
      <w:r w:rsidRPr="006C5CED">
        <w:rPr>
          <w:rFonts w:ascii="Times New Roman" w:hAnsi="Times New Roman" w:cs="Times New Roman"/>
          <w:sz w:val="20"/>
          <w:szCs w:val="20"/>
        </w:rPr>
        <w:t xml:space="preserve">s, are some of the factors that cause a lack of public interest in using </w:t>
      </w:r>
      <w:r>
        <w:rPr>
          <w:rFonts w:ascii="Times New Roman" w:hAnsi="Times New Roman" w:cs="Times New Roman"/>
          <w:sz w:val="20"/>
          <w:szCs w:val="20"/>
        </w:rPr>
        <w:t>Syariah bank</w:t>
      </w:r>
      <w:r w:rsidRPr="006C5CED">
        <w:rPr>
          <w:rFonts w:ascii="Times New Roman" w:hAnsi="Times New Roman" w:cs="Times New Roman"/>
          <w:sz w:val="20"/>
          <w:szCs w:val="20"/>
        </w:rPr>
        <w:t xml:space="preserve"> products </w:t>
      </w:r>
      <w:r w:rsidRPr="006C5CED">
        <w:rPr>
          <w:rFonts w:ascii="Times New Roman" w:hAnsi="Times New Roman" w:cs="Times New Roman"/>
          <w:sz w:val="20"/>
          <w:szCs w:val="20"/>
        </w:rPr>
        <w:fldChar w:fldCharType="begin" w:fldLock="1"/>
      </w:r>
      <w:r w:rsidR="009346D5">
        <w:rPr>
          <w:rFonts w:ascii="Times New Roman" w:hAnsi="Times New Roman" w:cs="Times New Roman"/>
          <w:sz w:val="20"/>
          <w:szCs w:val="20"/>
        </w:rPr>
        <w:instrText>ADDIN CSL_CITATION {"citationItems":[{"id":"ITEM-1","itemData":{"DOI":"10.1108/02652323199400002","ISSN":"02652323","author":[{"dropping-particle":"","family":"Abou-Youssef","given":"Mariam Mourad Hussein","non-dropping-particle":"","parse-names":false,"suffix":""},{"dropping-particle":"","family":"Abou-Aish","given":"Wael Kortam Ehab","non-dropping-particle":"","parse-names":false,"suffix":""},{"dropping-particle":"","family":"El-Bassioun","given":"Noha","non-dropping-particle":"","parse-names":false,"suffix":""}],"container-title":"International Journal of Bank Marketing","id":"ITEM-1","issue":"6","issued":{"date-parts":[["1994"]]},"number-of-pages":"1-32","title":"Effects of religiosity on consumer attitudes toward Islamic banking in Egypt","type":"report","volume":"33"},"uris":["http://www.mendeley.com/documents/?uuid=cd1f09b4-d924-44a9-b9d4-6b8fb398b66a"]},{"id":"ITEM-2","itemData":{"abstract":"This research investigates the relationship between university student knowledge of relevant financial concepts and terms in conventional and Islamic banking, the impact of religion and language, and other individual variables on preferences for financial services. Data from a university graduate and undergraduate business students (n = 667) from the United Arab Emirates was used to investigate the role of financial knowledge, religion, and language on self-reported attitudes and preferences for financial services. Results suggest that knowledge of conventional banking terms and concepts was higher among these students than was Islamic banking terminology. Arabic language was the primary predictor of higher Islamic banking knowledge, as well as a significant, though weaker, predictor of lower conventional banking knowledge. The more education completed tended to improve financial knowledge of both conventional and Islamic finance. Finance students tended to have higher overall knowledge of both financial systems. Further, religious sincerity, not better knowledge, was the strongest predictor of preference for Islamic banking services. Implications of the research are discussed.","author":[{"dropping-particle":"","family":"Bley","given":"Jorg","non-dropping-particle":"","parse-names":false,"suffix":""},{"dropping-particle":"","family":"Kuehn","given":"Kermit","non-dropping-particle":"","parse-names":false,"suffix":""}],"container-title":"International Journal of Islamic Financial Services","id":"ITEM-2","issue":"4","issued":{"date-parts":[["2003"]]},"title":"Conventional Versus Islamic Finance : Student Knowledge and Perception","type":"article-journal","volume":"5"},"uris":["http://www.mendeley.com/documents/?uuid=ab51f957-2905-45a1-a07b-e5e75b6b707c"]},{"id":"ITEM-3","itemData":{"DOI":"https://doi.org/10.1108/02652329010004231","author":[{"dropping-particle":"","family":"Erol","given":"Cengiz","non-dropping-particle":"","parse-names":false,"suffix":""},{"dropping-particle":"","family":"Kaynak","given":"Erdener","non-dropping-particle":"","parse-names":false,"suffix":""},{"dropping-particle":"","family":"Radi","given":"El-bdour","non-dropping-particle":"","parse-names":false,"suffix":""}],"container-title":"International Journal of Bank Marketing","id":"ITEM-3","issue":"4","issued":{"date-parts":[["1990"]]},"page":"25-35","title":"Conventionel and Islamic Banks:patronage Behavior of Jordanian Costumers","type":"article-journal","volume":"8"},"uris":["http://www.mendeley.com/documents/?uuid=a2044f6d-652f-4f3e-b944-39b6276f31c6"]}],"mendeley":{"formattedCitation":"[2]–[4]","plainTextFormattedCitation":"[2]–[4]","previouslyFormattedCitation":"[2]–[4]"},"properties":{"noteIndex":0},"schema":"https://github.com/citation-style-language/schema/raw/master/csl-citation.json"}</w:instrText>
      </w:r>
      <w:r w:rsidRPr="006C5CED">
        <w:rPr>
          <w:rFonts w:ascii="Times New Roman" w:hAnsi="Times New Roman" w:cs="Times New Roman"/>
          <w:sz w:val="20"/>
          <w:szCs w:val="20"/>
        </w:rPr>
        <w:fldChar w:fldCharType="separate"/>
      </w:r>
      <w:r w:rsidR="009346D5" w:rsidRPr="009346D5">
        <w:rPr>
          <w:rFonts w:ascii="Times New Roman" w:hAnsi="Times New Roman" w:cs="Times New Roman"/>
          <w:noProof/>
          <w:sz w:val="20"/>
          <w:szCs w:val="20"/>
        </w:rPr>
        <w:t>[2]–[4]</w:t>
      </w:r>
      <w:r w:rsidRPr="006C5CED">
        <w:rPr>
          <w:rFonts w:ascii="Times New Roman" w:hAnsi="Times New Roman" w:cs="Times New Roman"/>
          <w:sz w:val="20"/>
          <w:szCs w:val="20"/>
        </w:rPr>
        <w:fldChar w:fldCharType="end"/>
      </w:r>
      <w:r w:rsidRPr="006C5CED">
        <w:rPr>
          <w:rFonts w:ascii="Times New Roman" w:hAnsi="Times New Roman" w:cs="Times New Roman"/>
          <w:sz w:val="20"/>
          <w:szCs w:val="20"/>
          <w:lang w:val="id-ID"/>
        </w:rPr>
        <w:t>.</w:t>
      </w:r>
    </w:p>
    <w:p w:rsidR="005362EC" w:rsidRPr="006C5CED" w:rsidRDefault="005362EC" w:rsidP="00EF6857">
      <w:pPr>
        <w:ind w:firstLine="426"/>
        <w:jc w:val="both"/>
      </w:pPr>
      <w:r w:rsidRPr="006C5CED">
        <w:lastRenderedPageBreak/>
        <w:t xml:space="preserve">Several previous studies have shown the importance of marketing communication to build awareness of Syariah banks, </w:t>
      </w:r>
      <w:r w:rsidRPr="006C5CED">
        <w:fldChar w:fldCharType="begin" w:fldLock="1"/>
      </w:r>
      <w:r w:rsidR="009346D5">
        <w:instrText>ADDIN CSL_CITATION {"citationItems":[{"id":"ITEM-1","itemData":{"DOI":"10.1017/CBO9781107415324.004","ISBN":"9788578110796","ISSN":"1098-6596","PMID":"25246403","abstract":"Predicting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approach.","author":[{"dropping-particle":"","family":"Rammal","given":"Hussain Gulzar","non-dropping-particle":"","parse-names":false,"suffix":""},{"dropping-particle":"","family":"Zurbruegg","given":"Ralf","non-dropping-particle":"","parse-names":false,"suffix":""}],"container-title":"Journal of Financial Services Marketing","id":"ITEM-1","issue":"1","issued":{"date-parts":[["2007"]]},"page":"65-74","title":"Awarenss of Islamic Banking Products Among Muslims: The Case of Australia","type":"article-journal","volume":"12"},"uris":["http://www.mendeley.com/documents/?uuid=1fbb972a-e2af-4807-8d60-e0c4720e18dd"]}],"mendeley":{"formattedCitation":"[5]","plainTextFormattedCitation":"[5]","previouslyFormattedCitation":"[5]"},"properties":{"noteIndex":0},"schema":"https://github.com/citation-style-language/schema/raw/master/csl-citation.json"}</w:instrText>
      </w:r>
      <w:r w:rsidRPr="006C5CED">
        <w:fldChar w:fldCharType="separate"/>
      </w:r>
      <w:r w:rsidR="009346D5" w:rsidRPr="009346D5">
        <w:rPr>
          <w:noProof/>
        </w:rPr>
        <w:t>[5]</w:t>
      </w:r>
      <w:r w:rsidRPr="006C5CED">
        <w:fldChar w:fldCharType="end"/>
      </w:r>
      <w:r w:rsidRPr="006C5CED">
        <w:t xml:space="preserve"> shows that a lack of understanding of the principles of Islamic finance makes consumers unwilling to use Syariah banking products if credit facilities are not available, or if the bank shares the losses as large as the bank's profits. Research </w:t>
      </w:r>
      <w:r w:rsidRPr="006C5CED">
        <w:fldChar w:fldCharType="begin" w:fldLock="1"/>
      </w:r>
      <w:r w:rsidR="009346D5">
        <w:instrText>ADDIN CSL_CITATION {"citationItems":[{"id":"ITEM-1","itemData":{"DOI":"10.12816/0001616","ISSN":"20704658","abstract":"This paper explores the effectiveness of marketing and communication tactics used by Islamic banks in transmitting and conveying the essence of Islamic banking. Two banks are used as a case study, Bank A and Bank B, both located in Abu Dhabi. We use interviews, surveys, and a focus group to understand how different stakeholders perceive Islamic banks. The objective is to examine how communication is conducted from the emitters, namely Islamic banks in Abu Dhabi, and to assess the comprehension of the transmitted messages by receivers, namely the customers. Recommendations are made for improving communication and correcting inaccurate perceptions.","author":[{"dropping-particle":"","family":"Jabaly","given":"Roger","non-dropping-particle":"","parse-names":false,"suffix":""},{"dropping-particle":"","family":"Ameri","given":"Salmeen","non-dropping-particle":"Al","parse-names":false,"suffix":""},{"dropping-particle":"","family":"Ghoul","given":"Wafica Ali","non-dropping-particle":"","parse-names":false,"suffix":""}],"container-title":"Journal of Islamic Economics , Banking and Finance","id":"ITEM-1","issue":"3","issued":{"date-parts":[["2013"]]},"page":"149-176","title":"Islamic Banks’ Marketing and Communication Tactics : Towards a Better Reception and Perception","type":"article-journal","volume":"9"},"uris":["http://www.mendeley.com/documents/?uuid=67477eea-b81a-4208-a980-9d51fd217527"]}],"mendeley":{"formattedCitation":"[6]","plainTextFormattedCitation":"[6]","previouslyFormattedCitation":"[6]"},"properties":{"noteIndex":0},"schema":"https://github.com/citation-style-language/schema/raw/master/csl-citation.json"}</w:instrText>
      </w:r>
      <w:r w:rsidRPr="006C5CED">
        <w:fldChar w:fldCharType="separate"/>
      </w:r>
      <w:r w:rsidR="009346D5" w:rsidRPr="009346D5">
        <w:rPr>
          <w:noProof/>
        </w:rPr>
        <w:t>[6]</w:t>
      </w:r>
      <w:r w:rsidRPr="006C5CED">
        <w:fldChar w:fldCharType="end"/>
      </w:r>
      <w:r w:rsidRPr="006C5CED">
        <w:t xml:space="preserve"> shows that imperfections in communicating bank products and services will lead to a low understanding of Syariah banks and the uniqueness of Syariah banking products and services. Research conducted by </w:t>
      </w:r>
      <w:r w:rsidRPr="006C5CED">
        <w:fldChar w:fldCharType="begin" w:fldLock="1"/>
      </w:r>
      <w:r w:rsidR="009346D5">
        <w:instrText>ADDIN CSL_CITATION {"citationItems":[{"id":"ITEM-1","itemData":{"abstract":"Islamic banking is one of the most developing sectors in Pakistan. This study reveals the relationship between consumer behavior towards bank selection criteria and customer satisfaction. For this purpose, data was collected from a sample of 200 consumers in different Islamic bank in Multan through a structured questionnaire containing 30 questions. SPSS 17 has been used for data analysis. Correlation and regression analysis, ordinary least square (OLS ) method was use to find out relationship among independent variables( religion, high profit &amp;low service charges, influence of friends &amp; family, service quality, responsive attitude of staff ,mass media &amp; bank image) and dependent variable (customer satisfaction). The findings show positive and significant relationship among all variables and customer satisfaction partially mediates the relationship between independent variables and dependent variables. We conclude that customers’ satisfaction is increasing day after day and their commitment is strong with the Islamic banks.","author":[{"dropping-particle":"","family":"Awan","given":"Abdul Ghafoor","non-dropping-particle":"","parse-names":false,"suffix":""},{"dropping-particle":"","family":"Maliha","given":"Azhar","non-dropping-particle":"","parse-names":false,"suffix":""}],"container-title":"European Journal of Accounting Auditing and Finance Research","id":"ITEM-1","issue":"9","issued":{"date-parts":[["2014"]]},"page":"42-65","title":"Consumer Behavior Towards Islamic Banking in Pakistan","type":"article-journal","volume":"2"},"uris":["http://www.mendeley.com/documents/?uuid=18f7ff8a-33b5-4af1-84d1-6592341d9b4d"]}],"mendeley":{"formattedCitation":"[7]","plainTextFormattedCitation":"[7]","previouslyFormattedCitation":"[7]"},"properties":{"noteIndex":0},"schema":"https://github.com/citation-style-language/schema/raw/master/csl-citation.json"}</w:instrText>
      </w:r>
      <w:r w:rsidRPr="006C5CED">
        <w:fldChar w:fldCharType="separate"/>
      </w:r>
      <w:r w:rsidR="009346D5" w:rsidRPr="009346D5">
        <w:rPr>
          <w:noProof/>
        </w:rPr>
        <w:t>[7]</w:t>
      </w:r>
      <w:r w:rsidRPr="006C5CED">
        <w:fldChar w:fldCharType="end"/>
      </w:r>
      <w:r w:rsidRPr="006C5CED">
        <w:t xml:space="preserve"> shows that proper marketing and promotion of Islamic financial products and services will help to increase the goodwill and reputation of Syariah banks. Research conducted by </w:t>
      </w:r>
      <w:r w:rsidRPr="006C5CED">
        <w:fldChar w:fldCharType="begin" w:fldLock="1"/>
      </w:r>
      <w:r w:rsidR="009346D5">
        <w:instrText>ADDIN CSL_CITATION {"citationItems":[{"id":"ITEM-1","itemData":{"DOI":"10.15640/jisc.v2n3a4","ISSN":"23335904","abstract":"Islamic banking and Muslim products have high demands not only among Muslims but also the non-Muslims worldwide including Malaysia. In general, Muslim consumers present a strong voice that the globalised world of business is paying more attention to, but has yet to be fully understood on how to deal with the market. To understand the global market challenges, it is important for public relations practitioners to apply strategic promotional tools to specifically cater this market. There are tremendous opportunity for growth in global halal market which is valued at approximately US$2.7 trillion annually (Ministry of International Trade &amp; Industry of Malaysia, 2012). Looking at the growth and development of Islamic Products in Malaysia, this article examines the role of public relations in promoting Islamic products globally. The findings indicate that, it is important to used advertising; initiating Corporate Social Responsibility activities as well as correcting misconception of Islam are among the roles that need to be executed by public relations practitioners in promoting Islamic products globally. Keywords:","author":[{"dropping-particle":"","family":"Ahmad","given":"Jamilah","non-dropping-particle":"","parse-names":false,"suffix":""}],"container-title":"Journal of Islamic Studies and Culture","id":"ITEM-1","issue":"3","issued":{"date-parts":[["2014"]]},"page":"63-81","title":"The Role of Public Relations in Promoting Islamic Products Globally: The Malaysian Experience","type":"article-journal","volume":"2"},"uris":["http://www.mendeley.com/documents/?uuid=c53c10bf-6627-41da-bc06-e16a25d18080"]}],"mendeley":{"formattedCitation":"[8]","plainTextFormattedCitation":"[8]","previouslyFormattedCitation":"[8]"},"properties":{"noteIndex":0},"schema":"https://github.com/citation-style-language/schema/raw/master/csl-citation.json"}</w:instrText>
      </w:r>
      <w:r w:rsidRPr="006C5CED">
        <w:fldChar w:fldCharType="separate"/>
      </w:r>
      <w:r w:rsidR="009346D5" w:rsidRPr="009346D5">
        <w:rPr>
          <w:noProof/>
        </w:rPr>
        <w:t>[8]</w:t>
      </w:r>
      <w:r w:rsidRPr="006C5CED">
        <w:fldChar w:fldCharType="end"/>
      </w:r>
      <w:r w:rsidRPr="006C5CED">
        <w:t xml:space="preserve"> on the role of public relations to promote Islamic products globally shows that advertising and activities are Corporate Social Responsibility important to be used by companies, while public relations play a role in rectifying incorrect perceptions about Syariah banks products globally.</w:t>
      </w:r>
    </w:p>
    <w:p w:rsidR="005362EC" w:rsidRDefault="005362EC" w:rsidP="00EF6857">
      <w:pPr>
        <w:ind w:firstLine="426"/>
        <w:jc w:val="both"/>
      </w:pPr>
      <w:r w:rsidRPr="006C5CED">
        <w:t xml:space="preserve">Research on marketing communication at Syariah banks is very important considering that there are still few studies that discuss marketing communication and its impact on consumer awareness in Syariah banking. This research is useful for stakeholders to find out the most effective marketing communications to educate the younger generation and increase their awareness and understanding of Syariah banking products and services so that they are interested in using Syariah banks. Lack of research on marketing communications can lead to failure of Syariah banks to obtain additional funds from third parties/customers due to their lack of understanding of Syariah banks, the slower growth of Syariah banks, low market share, a poor image of Syariah banks, and unfamiliarity </w:t>
      </w:r>
      <w:r w:rsidRPr="006C5CED">
        <w:rPr>
          <w:lang w:val="id-ID"/>
        </w:rPr>
        <w:t>of</w:t>
      </w:r>
      <w:r w:rsidRPr="006C5CED">
        <w:t xml:space="preserve"> the Muslim community with Syariah banks which results in low intention to use </w:t>
      </w:r>
      <w:r>
        <w:t>Syariah bank</w:t>
      </w:r>
      <w:r w:rsidRPr="006C5CED">
        <w:t>ing services.</w:t>
      </w:r>
    </w:p>
    <w:p w:rsidR="00850D2A" w:rsidRPr="009346D5" w:rsidRDefault="00DB1262" w:rsidP="009346D5">
      <w:pPr>
        <w:keepNext/>
        <w:keepLines/>
        <w:tabs>
          <w:tab w:val="left" w:pos="454"/>
        </w:tabs>
        <w:spacing w:before="520" w:after="280"/>
        <w:jc w:val="both"/>
        <w:rPr>
          <w:lang w:val="id-ID"/>
        </w:rPr>
      </w:pPr>
      <w:r>
        <w:rPr>
          <w:b/>
          <w:sz w:val="24"/>
          <w:szCs w:val="24"/>
        </w:rPr>
        <w:t>2 Literature Review</w:t>
      </w:r>
    </w:p>
    <w:p w:rsidR="00850D2A" w:rsidRDefault="00FA5DAB">
      <w:pPr>
        <w:rPr>
          <w:b/>
        </w:rPr>
      </w:pPr>
      <w:r>
        <w:rPr>
          <w:b/>
        </w:rPr>
        <w:t xml:space="preserve">2.1 </w:t>
      </w:r>
      <w:r w:rsidR="00DB1262" w:rsidRPr="006C5CED">
        <w:rPr>
          <w:b/>
        </w:rPr>
        <w:t>Marketing Communication</w:t>
      </w:r>
    </w:p>
    <w:p w:rsidR="00DB1262" w:rsidRPr="006C5CED" w:rsidRDefault="00DB1262" w:rsidP="00EF6857">
      <w:pPr>
        <w:ind w:firstLine="426"/>
        <w:jc w:val="both"/>
      </w:pPr>
      <w:r w:rsidRPr="006C5CED">
        <w:t>Marketing communication is a means for companies, directly or indirectly, to inform a product, remind</w:t>
      </w:r>
      <w:r>
        <w:rPr>
          <w:lang w:val="id-ID"/>
        </w:rPr>
        <w:t>,</w:t>
      </w:r>
      <w:r w:rsidRPr="006C5CED">
        <w:t xml:space="preserve"> and even persuade consumers about the products and brands being sold </w:t>
      </w:r>
      <w:r w:rsidRPr="006C5CED">
        <w:fldChar w:fldCharType="begin" w:fldLock="1"/>
      </w:r>
      <w:r w:rsidR="009346D5">
        <w:instrText>ADDIN CSL_CITATION {"citationItems":[{"id":"ITEM-1","itemData":{"DOI":"10.1362/026725701323366836","ISSN":"14721376","abstract":"One difficult challenge for marketers is the large, diverse means of communication and communication options that are available to support their brands (e.g. TV, print, and interactive advertising; trade and consumer promotions; arts, sports, and cause sponsorships; etc.). Consequently, marketers must understand what various marketing communication options have to offer and how they should be combined to optimize their marketing communications programs. Towards that goal, this paper considers issues in how to develop, implement, and evaluate an integrated marketing communication program. Specifically, to provide micro perspectives -- especially relevant for academic research -- we introduce the Marketing Communication Tetrahedron as a means of classifying and analyzing factors influencing marketing communication effectiveness along four broad dimensions (i.e. factors related to the consumer, communication, response, and situation). To provide macro perspectives -- especially relevant for managerial planning -- we provide criteria as to how integrated marketing communication programs can be designed and evaluated as a whole (i.e. according to coverage, contribution, commonality, complementarity, robustness, and cost considerations). We also describe how the two perspectives relate and conclude by discussing theoretical and managerial implications and outlining future research directions.","author":[{"dropping-particle":"","family":"Keller","given":"Kevin Lane","non-dropping-particle":"","parse-names":false,"suffix":""}],"container-title":"Journal of Marketing Management","id":"ITEM-1","issue":"7-8","issued":{"date-parts":[["2001"]]},"page":"819-847","title":"Mastering the Marketing Communications Mix: Micro and Macro Perspectives on Integrated Marketing Communication Programs","type":"article-journal","volume":"17"},"uris":["http://www.mendeley.com/documents/?uuid=83a6c5ae-3fb5-42e7-8f9b-b1f8e849f751"]}],"mendeley":{"formattedCitation":"[9]","plainTextFormattedCitation":"[9]","previouslyFormattedCitation":"[9]"},"properties":{"noteIndex":0},"schema":"https://github.com/citation-style-language/schema/raw/master/csl-citation.json"}</w:instrText>
      </w:r>
      <w:r w:rsidRPr="006C5CED">
        <w:fldChar w:fldCharType="separate"/>
      </w:r>
      <w:r w:rsidR="009346D5" w:rsidRPr="009346D5">
        <w:rPr>
          <w:noProof/>
        </w:rPr>
        <w:t>[9]</w:t>
      </w:r>
      <w:r w:rsidRPr="006C5CED">
        <w:fldChar w:fldCharType="end"/>
      </w:r>
      <w:r w:rsidRPr="006C5CED">
        <w:t xml:space="preserve">. There is a debate about the use of advertising in Islam, advertising is generally considered unethical because it describes something more than what it is </w:t>
      </w:r>
      <w:r w:rsidRPr="006C5CED">
        <w:fldChar w:fldCharType="begin" w:fldLock="1"/>
      </w:r>
      <w:r w:rsidR="009346D5">
        <w:instrText>ADDIN CSL_CITATION {"citationItems":[{"id":"ITEM-1","itemData":{"DOI":"10.12816/0019139","ISSN":"20756291","abstract":"Islamic marketing ethics combines the principle of value maximisation with the principles of equity and justice for the welfare of the society. Adherence to the Islamic ethics in the Islamic banking industry can help elevate the standards of both behaviour and living of bankers and customers alike. In a rapidly changing marketing environment the need to be customer-focused has never been as important as it is today. At present where customers are becoming more demanding and increasingly mobile between competing financial providers, being customer-focussed is not enough. Islamic banks and more specifically their customer-contact employees (customer relation advisers or officers) need to be perceived by their customers as being Islamic. This study represents an initial step in analysing the role of Islamic ethical sales behaviour as it may be perceived by the customers of Islamic Banks. 1.","author":[{"dropping-particle":"","family":"Hassan","given":"Abul","non-dropping-particle":"","parse-names":false,"suffix":""},{"dropping-particle":"","family":"Chachi","given":"Abdelkader","non-dropping-particle":"","parse-names":false,"suffix":""},{"dropping-particle":"","family":"Latiff","given":"Salma Abdul","non-dropping-particle":"","parse-names":false,"suffix":""}],"container-title":"Islamic Econ","id":"ITEM-1","issue":"1","issued":{"date-parts":[["2008"]]},"page":"22-46","title":"Islamic Marketing Ethics and Its Impact on Customer Satisfaction in the Islamic Banking Industry","type":"article-journal","volume":"21"},"uris":["http://www.mendeley.com/documents/?uuid=2a2af5d9-b23b-4dc9-b88c-faefa278f7bb"]}],"mendeley":{"formattedCitation":"[10]","plainTextFormattedCitation":"[10]","previouslyFormattedCitation":"[10]"},"properties":{"noteIndex":0},"schema":"https://github.com/citation-style-language/schema/raw/master/csl-citation.json"}</w:instrText>
      </w:r>
      <w:r w:rsidRPr="006C5CED">
        <w:fldChar w:fldCharType="separate"/>
      </w:r>
      <w:r w:rsidR="009346D5" w:rsidRPr="009346D5">
        <w:rPr>
          <w:noProof/>
        </w:rPr>
        <w:t>[10]</w:t>
      </w:r>
      <w:r w:rsidRPr="006C5CED">
        <w:fldChar w:fldCharType="end"/>
      </w:r>
      <w:r w:rsidRPr="006C5CED">
        <w:t>. The process of promoting products in Islam is limited by certain sharia norms and principles. Communication through advertisements and other promotional must be accurate and truly represent the product or service being advertised, not coercive, and based on Islamic values ​​</w:t>
      </w:r>
      <w:r w:rsidRPr="006C5CED">
        <w:fldChar w:fldCharType="begin" w:fldLock="1"/>
      </w:r>
      <w:r w:rsidR="009346D5">
        <w:instrText>ADDIN CSL_CITATION {"citationItems":[{"id":"ITEM-1","itemData":{"abstract":"The term Islamic marketing has gained a lot of attraction in recent days among the Shariah scholars and financial marketing experts. A lot of research papers and journal articles have been published in magazines and newspapers which in fact created a massive awareness among the people on this topic. This particular sector of Islamic marketing has now become a great area for research and project works. Even though after all these publications related to Islamic marketing, there is no well formulated rules and regulations for governing marketing principles and process on the light of Shariah. In order to fulfill this gap, this paper on Islamic marketing will discuss all core components of marketing in both conventional and Islamic system. Further it explains the concept of Islamic advertising under the sub topic promotion. Every topic have been well analyzed through the lens of Shariah with reference from its authentic sources. All the topics have inter-related in order to give continuation flow for the readers. Key","author":[{"dropping-particle":"","family":"Ahamedullah","given":"M","non-dropping-particle":"","parse-names":false,"suffix":""}],"container-title":"Second International Symposium","id":"ITEM-1","issued":{"date-parts":[["2015"]]},"page":"71-78","title":"Islamic marketing ethics and its application in Islamic banking industry","type":"article-journal"},"uris":["http://www.mendeley.com/documents/?uuid=5adb8f58-fcaa-4a2d-be94-e51f33f923d5"]},{"id":"ITEM-2","itemData":{"DOI":"10.1108/17590831011055888","ISSN":"17590833","abstract":"Purpose: The paper aims to conceptually exhibit modern marketing theory from an Islamic perspective. Design/methodology/approach: The paper is conceptual and qualitative in nature. It originated from two mainstream publications. The first belongs to the ones which discuss Islamic economics and Islamic banking and finance. The second source comes from those which discuss Islamic business ethics. Both sources are essential in developing the conceptual theory of Islamic marketing. Findings: Religious teachings, at least Islam, could be applied in the realm of modern marketing theory. Though not all of its elements could be applied in Islamic society, modern marketing theory will provide some elements which could be utilised in developing Islamic marketing theory. Research limitations/implications: The lack of papers on Islamic marketing makes the depth of discussion rather limited. Originality/value: Although several papers already exist in discussing Islamic business ethics with some elements of the marketing mix, it could be argued that this paper is the first of its kind which specifically discusses the concept of modern marketing from an Islamic perspective. © Emerald Group Publishing Limited.","author":[{"dropping-particle":"","family":"Arham","given":"Muhammad","non-dropping-particle":"","parse-names":false,"suffix":""}],"container-title":"Journal of Islamic Marketing","id":"ITEM-2","issue":"2","issued":{"date-parts":[["2010"]]},"page":"149-164","title":"Islamic perspectives on marketing","type":"article-journal","volume":"1"},"uris":["http://www.mendeley.com/documents/?uuid=ac590570-d2f0-4961-b222-b188bd68d5f1"]},{"id":"ITEM-3","itemData":{"DOI":"10.12816/0019139","ISSN":"20756291","abstract":"Islamic marketing ethics combines the principle of value maximisation with the principles of equity and justice for the welfare of the society. Adherence to the Islamic ethics in the Islamic banking industry can help elevate the standards of both behaviour and living of bankers and customers alike. In a rapidly changing marketing environment the need to be customer-focused has never been as important as it is today. At present where customers are becoming more demanding and increasingly mobile between competing financial providers, being customer-focussed is not enough. Islamic banks and more specifically their customer-contact employees (customer relation advisers or officers) need to be perceived by their customers as being Islamic. This study represents an initial step in analysing the role of Islamic ethical sales behaviour as it may be perceived by the customers of Islamic Banks. 1.","author":[{"dropping-particle":"","family":"Hassan","given":"Abul","non-dropping-particle":"","parse-names":false,"suffix":""},{"dropping-particle":"","family":"Chachi","given":"Abdelkader","non-dropping-particle":"","parse-names":false,"suffix":""},{"dropping-particle":"","family":"Latiff","given":"Salma Abdul","non-dropping-particle":"","parse-names":false,"suffix":""}],"container-title":"Islamic Econ","id":"ITEM-3","issue":"1","issued":{"date-parts":[["2008"]]},"page":"22-46","title":"Islamic Marketing Ethics and Its Impact on Customer Satisfaction in the Islamic Banking Industry","type":"article-journal","volume":"21"},"uris":["http://www.mendeley.com/documents/?uuid=2a2af5d9-b23b-4dc9-b88c-faefa278f7bb"]}],"mendeley":{"formattedCitation":"[10]–[12]","plainTextFormattedCitation":"[10]–[12]","previouslyFormattedCitation":"[10]–[12]"},"properties":{"noteIndex":0},"schema":"https://github.com/citation-style-language/schema/raw/master/csl-citation.json"}</w:instrText>
      </w:r>
      <w:r w:rsidRPr="006C5CED">
        <w:fldChar w:fldCharType="separate"/>
      </w:r>
      <w:r w:rsidR="009346D5" w:rsidRPr="009346D5">
        <w:rPr>
          <w:noProof/>
        </w:rPr>
        <w:t>[10]–[12]</w:t>
      </w:r>
      <w:r w:rsidRPr="006C5CED">
        <w:fldChar w:fldCharType="end"/>
      </w:r>
      <w:r w:rsidRPr="006C5CED">
        <w:t>.</w:t>
      </w:r>
    </w:p>
    <w:p w:rsidR="00DB1262" w:rsidRPr="006C5CED" w:rsidRDefault="00DB1262" w:rsidP="00EF6857">
      <w:pPr>
        <w:ind w:firstLine="426"/>
        <w:jc w:val="both"/>
      </w:pPr>
      <w:r w:rsidRPr="006C5CED">
        <w:t xml:space="preserve">Syariah banks can use television, radio, magazines, posters, banners, and even social media to promote their products and services as a communication channel to build consumer awareness. The responsibility of communicating Syariah banks can be carried out by mosque imams by educating the public about banks that are following Islamic principles </w:t>
      </w:r>
      <w:r w:rsidRPr="006C5CED">
        <w:fldChar w:fldCharType="begin" w:fldLock="1"/>
      </w:r>
      <w:r w:rsidR="009346D5">
        <w:instrText>ADDIN CSL_CITATION {"citationItems":[{"id":"ITEM-1","itemData":{"abstract":"The term Islamic marketing has gained a lot of attraction in recent days among the Shariah scholars and financial marketing experts. A lot of research papers and journal articles have been published in magazines and newspapers which in fact created a massive awareness among the people on this topic. This particular sector of Islamic marketing has now become a great area for research and project works. Even though after all these publications related to Islamic marketing, there is no well formulated rules and regulations for governing marketing principles and process on the light of Shariah. In order to fulfill this gap, this paper on Islamic marketing will discuss all core components of marketing in both conventional and Islamic system. Further it explains the concept of Islamic advertising under the sub topic promotion. Every topic have been well analyzed through the lens of Shariah with reference from its authentic sources. All the topics have inter-related in order to give continuation flow for the readers. Key","author":[{"dropping-particle":"","family":"Ahamedullah","given":"M","non-dropping-particle":"","parse-names":false,"suffix":""}],"container-title":"Second International Symposium","id":"ITEM-1","issued":{"date-parts":[["2015"]]},"page":"71-78","title":"Islamic marketing ethics and its application in Islamic banking industry","type":"article-journal"},"uris":["http://www.mendeley.com/documents/?uuid=5adb8f58-fcaa-4a2d-be94-e51f33f923d5"]}],"mendeley":{"formattedCitation":"[11]","plainTextFormattedCitation":"[11]","previouslyFormattedCitation":"[11]"},"properties":{"noteIndex":0},"schema":"https://github.com/citation-style-language/schema/raw/master/csl-citation.json"}</w:instrText>
      </w:r>
      <w:r w:rsidRPr="006C5CED">
        <w:fldChar w:fldCharType="separate"/>
      </w:r>
      <w:r w:rsidR="009346D5" w:rsidRPr="009346D5">
        <w:rPr>
          <w:noProof/>
        </w:rPr>
        <w:t>[11]</w:t>
      </w:r>
      <w:r w:rsidRPr="006C5CED">
        <w:fldChar w:fldCharType="end"/>
      </w:r>
      <w:r w:rsidRPr="006C5CED">
        <w:t xml:space="preserve">. Syariah banks can also use a marketing communication mix which consists of eight main models: (1) advertising, (2) sales promotion, (3) events and experiences, (4) public relations and publicity, (5) direct marketing, (6) interactive marketing, (7) word-of-mouth marketing, (8) personal selling </w:t>
      </w:r>
      <w:r w:rsidRPr="006C5CED">
        <w:fldChar w:fldCharType="begin" w:fldLock="1"/>
      </w:r>
      <w:r w:rsidR="009346D5">
        <w:instrText>ADDIN CSL_CITATION {"citationItems":[{"id":"ITEM-1","itemData":{"DOI":"10.4324/9780203357262","ISBN":"9780133856460","abstract":"The article reviews the book \"Global Marketing Management,\" 4th edition, by M. Kotabe and K. Helsen.","author":[{"dropping-particle":"","family":"Kotler","given":"Philip","non-dropping-particle":"","parse-names":false,"suffix":""},{"dropping-particle":"","family":"Keller","given":"Kevin Lane","non-dropping-particle":"","parse-names":false,"suffix":""}],"container-title":"Marketing Management","edition":"15","editor":[{"dropping-particle":"","family":"Wall","given":"Stephanie","non-dropping-particle":"","parse-names":false,"suffix":""}],"id":"ITEM-1","issued":{"date-parts":[["2016"]]},"publisher":"Pearson Education Limited","publisher-place":"England","title":"Marketing Management\" Global Edition","type":"book"},"uris":["http://www.mendeley.com/documents/?uuid=6de805d7-f8c9-4f29-80a7-1aed9e75e0c6"]}],"mendeley":{"formattedCitation":"[13]","plainTextFormattedCitation":"[13]","previouslyFormattedCitation":"[13]"},"properties":{"noteIndex":0},"schema":"https://github.com/citation-style-language/schema/raw/master/csl-citation.json"}</w:instrText>
      </w:r>
      <w:r w:rsidRPr="006C5CED">
        <w:fldChar w:fldCharType="separate"/>
      </w:r>
      <w:r w:rsidR="009346D5" w:rsidRPr="009346D5">
        <w:rPr>
          <w:noProof/>
        </w:rPr>
        <w:t>[13]</w:t>
      </w:r>
      <w:r w:rsidRPr="006C5CED">
        <w:fldChar w:fldCharType="end"/>
      </w:r>
      <w:r w:rsidRPr="006C5CED">
        <w:t xml:space="preserve">. Research conducted by </w:t>
      </w:r>
      <w:r w:rsidRPr="006C5CED">
        <w:fldChar w:fldCharType="begin" w:fldLock="1"/>
      </w:r>
      <w:r w:rsidR="009346D5">
        <w:instrText>ADDIN CSL_CITATION {"citationItems":[{"id":"ITEM-1","itemData":{"abstract":"Despite the fact that Indonesia is a predominantly Muslim country, the market share of Islamic banking sector in Indonesia stands around 4 percent in 2011 (Indonesian Central Bank, 2012:127). Although a plethora of study regarding the Indonesian Islamic banking industry has been conducted, not many of them touch the issue of low market share from marketing perspectives. This research aims at exploring and examining the marketing developed and utilised by the Islamic banking industry in Indonesia. In doing so, this study aims at measuring the perceptions, attitudes, and opinions of the participants having accounts in Islamic banks in evaluating various dimensions of Islamic banking marketing in terms of process, consequence and outcome as well as their general perceptions on Islamic finance and banking. The study also aims to evaluate the marketing of Islamic banks through the norms of the Islamic moral economy as well as the perceived practices of marketing activities. During the process of primary data collection, 1063 questionnaires were gathered and were divided into three categories: conventional banking only depositors (412 respondents), dual banking only depositors (523 respondents), and Shari’ah banking only depositors (128 respondents). In addition, interviews were conducted by leading individuals from the Islamic banking industry. Apart from that secondary data collection was also conducted from various secondary sources. In general, one could argue that the three group of respondent share similar demographical characteristics. For Shari’ah banking only depositor, the only difference lies in respondents’ marital status, while for conventional banking only depositor, the difference lies in the income. In addition, almost all respondents prefer to bank with local Shari’ah bank. The primary reason for this is neither nationalism nor Halal and Haram issue, but rather the excellence of the product. In overall, respondents who are married, Muslim, highly educated, and have a domicile in Java are likely to go for Shari’ah bank. Knowledge regarding Shari’ah bank is also explored and it is shown that the amount of particular areas of knowledge gets better as with attachment to Shari’ah bank. Furthermore, respondents’ perceptions on several issues are also presented. In general, respondents perceive Shari’ah bank as positive except when they think that Shari’ah bank is only for the needy. Nevertheless, contrasting opinions could be seen on the perception…","author":[{"dropping-particle":"","family":"Arham","given":"Muhammad","non-dropping-particle":"","parse-names":false,"suffix":""}],"id":"ITEM-1","issued":{"date-parts":[["2012"]]},"number-of-pages":"1-468","publisher":"Durham University","title":"An Empirical Analysis Of Marketing Activities in Indonesian Islamic Banking Industry","type":"thesis"},"uris":["http://www.mendeley.com/documents/?uuid=a0549331-4239-4dba-9c89-9516236e7b0a"]}],"mendeley":{"formattedCitation":"[14]","plainTextFormattedCitation":"[14]","previouslyFormattedCitation":"[14]"},"properties":{"noteIndex":0},"schema":"https://github.com/citation-style-language/schema/raw/master/csl-citation.json"}</w:instrText>
      </w:r>
      <w:r w:rsidRPr="006C5CED">
        <w:fldChar w:fldCharType="separate"/>
      </w:r>
      <w:r w:rsidR="009346D5" w:rsidRPr="009346D5">
        <w:rPr>
          <w:noProof/>
        </w:rPr>
        <w:t>[14]</w:t>
      </w:r>
      <w:r w:rsidRPr="006C5CED">
        <w:fldChar w:fldCharType="end"/>
      </w:r>
      <w:r w:rsidRPr="006C5CED">
        <w:t xml:space="preserve"> on marketing activities carried out in the Syariah bank industry in Indonesia shows that the more frequent advertisements that respondents see, the more they will remember the bank and the more positive their opinion on the bank. </w:t>
      </w:r>
    </w:p>
    <w:p w:rsidR="00850D2A" w:rsidRDefault="00DB1262" w:rsidP="00DB1262">
      <w:pPr>
        <w:jc w:val="both"/>
      </w:pPr>
      <w:r w:rsidRPr="006C5CED">
        <w:t>H1. Marketing communication affects brand awareness</w:t>
      </w:r>
      <w:r w:rsidR="00FA5DAB">
        <w:t>.</w:t>
      </w:r>
    </w:p>
    <w:p w:rsidR="00EF6857" w:rsidRDefault="00EF6857" w:rsidP="00DB1262">
      <w:pPr>
        <w:jc w:val="both"/>
      </w:pPr>
    </w:p>
    <w:p w:rsidR="00B94194" w:rsidRDefault="00B94194" w:rsidP="00DB1262">
      <w:pPr>
        <w:jc w:val="both"/>
        <w:rPr>
          <w:b/>
        </w:rPr>
      </w:pPr>
    </w:p>
    <w:p w:rsidR="00DB1262" w:rsidRPr="00EF6857" w:rsidRDefault="00DB1262" w:rsidP="00DB1262">
      <w:pPr>
        <w:jc w:val="both"/>
        <w:rPr>
          <w:b/>
        </w:rPr>
      </w:pPr>
      <w:r w:rsidRPr="006C5CED">
        <w:rPr>
          <w:b/>
        </w:rPr>
        <w:lastRenderedPageBreak/>
        <w:t xml:space="preserve">2.2 Brand Awareness </w:t>
      </w:r>
    </w:p>
    <w:p w:rsidR="00DB1262" w:rsidRPr="006C5CED" w:rsidRDefault="00DB1262" w:rsidP="00EF6857">
      <w:pPr>
        <w:ind w:firstLine="426"/>
        <w:jc w:val="both"/>
      </w:pPr>
      <w:r w:rsidRPr="006C5CED">
        <w:t xml:space="preserve">Brand awareness refers to the strength of the brand in the minds of consumers, namely the ability of potential buyers to recognize or remember a brand with certain products used by consumers </w:t>
      </w:r>
      <w:r w:rsidRPr="006C5CED">
        <w:fldChar w:fldCharType="begin" w:fldLock="1"/>
      </w:r>
      <w:r w:rsidR="009346D5">
        <w:instrText>ADDIN CSL_CITATION {"citationItems":[{"id":"ITEM-1","itemData":{"DOI":"10.1086/208544","ISSN":"0093-5301","abstract":"Results of a controlled experiment on the role of brand awareness in the consumer choice process showed that brand awareness was a dominant choice heuristic among awareness-group subjects. Subjects with no brand awareness tended to sample more brands and selected the high-quality brand on the final choice significantly more often than those with brand awareness. Thus, when quality differences exist among competing brands, consumers may “pay a price” for employing simple choice heuristics such as brand awareness in the interest of economizing time and effort. However, building brand awareness is a viable strategy for advertising aimed at increasing brand-choice probabilities.","author":[{"dropping-particle":"","family":"Hoyer","given":"Wayne D.","non-dropping-particle":"","parse-names":false,"suffix":""},{"dropping-particle":"","family":"Brown","given":"Steven P.","non-dropping-particle":"","parse-names":false,"suffix":""}],"container-title":"Journal of Consumer Research","id":"ITEM-1","issue":"2","issued":{"date-parts":[["1990"]]},"page":"141","title":"Effects of Brand Awareness on Choice for a Common, Repeat-Purchase Product","type":"article-journal","volume":"17"},"uris":["http://www.mendeley.com/documents/?uuid=1a8c25dd-9228-4862-833f-0f825ef606f7"]},{"id":"ITEM-2","itemData":{"DOI":"10.1108/10610420510601012","ISBN":"1061042051060","ISSN":"10610421","abstract":"Purpose The present research aims to improve the measurement of consumer-based brand equity. Current measurement of consumer-based brand equity suffers from limitations, including: a lack of distinction between the dimensions brand awareness and brand associations, the use of non-discriminant indicators in the measurement scales and of student samples. Design/methodology/approach Based on the recommendations of extant research, the scale constructed to measure consumer-based brand equity in this study included brand personality measures. Brand associations were measured using a different set of items. Unlike many of the previous studies that had used student samples, the present study used a sample of actual consumers from an Australian state capital city. Confirmatory factor analysis employing structural equations modelling was used to measure consumer-based brand equity in two product categories and across six brands. Findings Results support the hypothesised four-dimension model of consumer-based brand equity across two product categories and six brands. Brand awareness and brand associations were found to be two distinct dimensions of brand equity as conceptualised in the marketing literature. The present study contributes to the understanding of consumer-based brand equity measurement by examining the dimensionality of this construct. Originality/value The principal contribution of the present research is that it provides empirical evidence of the multidimensionality of consumer-based brand equity, supporting Aaker's and Keller's conceptualisation of brand equity. The present research also enriched consumer-based brand equity measurement by incorporating the brand personality measures, as recommended by previous researchers. While earlier studies were conducted using US and Korean samples, the present study also used a sample of Australian consumers. © 2005, Emerald Group Publishing Limited","author":[{"dropping-particle":"","family":"Pappu","given":"Ravi","non-dropping-particle":"","parse-names":false,"suffix":""},{"dropping-particle":"","family":"Cooksey","given":"Ray W.","non-dropping-particle":"","parse-names":false,"suffix":""},{"dropping-particle":"","family":"Quester","given":"Pascale G.","non-dropping-particle":"","parse-names":false,"suffix":""}],"container-title":"Journal of Product &amp; Brand Management","id":"ITEM-2","issue":"3","issued":{"date-parts":[["2005"]]},"page":"143-154","title":"Consumer-based brand equity: improving the measurement – empirical evidence","type":"article-journal","volume":"14"},"uris":["http://www.mendeley.com/documents/?uuid=33d8b8ab-c852-4cf4-8beb-4ade729ab67c"]}],"mendeley":{"formattedCitation":"[15], [16]","plainTextFormattedCitation":"[15], [16]","previouslyFormattedCitation":"[15], [16]"},"properties":{"noteIndex":0},"schema":"https://github.com/citation-style-language/schema/raw/master/csl-citation.json"}</w:instrText>
      </w:r>
      <w:r w:rsidRPr="006C5CED">
        <w:fldChar w:fldCharType="separate"/>
      </w:r>
      <w:r w:rsidR="009346D5" w:rsidRPr="009346D5">
        <w:rPr>
          <w:noProof/>
        </w:rPr>
        <w:t>[15], [16]</w:t>
      </w:r>
      <w:r w:rsidRPr="006C5CED">
        <w:fldChar w:fldCharType="end"/>
      </w:r>
      <w:r w:rsidRPr="006C5CED">
        <w:t xml:space="preserve">. Brand awareness is very important for consumers who buy products for the first time </w:t>
      </w:r>
      <w:r w:rsidRPr="006C5CED">
        <w:fldChar w:fldCharType="begin" w:fldLock="1"/>
      </w:r>
      <w:r w:rsidR="009346D5">
        <w:instrText>ADDIN CSL_CITATION {"citationItems":[{"id":"ITEM-1","itemData":{"DOI":"10.1086/208544","ISSN":"0093-5301","abstract":"Results of a controlled experiment on the role of brand awareness in the consumer choice process showed that brand awareness was a dominant choice heuristic among awareness-group subjects. Subjects with no brand awareness tended to sample more brands and selected the high-quality brand on the final choice significantly more often than those with brand awareness. Thus, when quality differences exist among competing brands, consumers may “pay a price” for employing simple choice heuristics such as brand awareness in the interest of economizing time and effort. However, building brand awareness is a viable strategy for advertising aimed at increasing brand-choice probabilities.","author":[{"dropping-particle":"","family":"Hoyer","given":"Wayne D.","non-dropping-particle":"","parse-names":false,"suffix":""},{"dropping-particle":"","family":"Brown","given":"Steven P.","non-dropping-particle":"","parse-names":false,"suffix":""}],"container-title":"Journal of Consumer Research","id":"ITEM-1","issue":"2","issued":{"date-parts":[["1990"]]},"page":"141","title":"Effects of Brand Awareness on Choice for a Common, Repeat-Purchase Product","type":"article-journal","volume":"17"},"uris":["http://www.mendeley.com/documents/?uuid=1a8c25dd-9228-4862-833f-0f825ef606f7"]}],"mendeley":{"formattedCitation":"[15]","plainTextFormattedCitation":"[15]","previouslyFormattedCitation":"[15]"},"properties":{"noteIndex":0},"schema":"https://github.com/citation-style-language/schema/raw/master/csl-citation.json"}</w:instrText>
      </w:r>
      <w:r w:rsidRPr="006C5CED">
        <w:fldChar w:fldCharType="separate"/>
      </w:r>
      <w:r w:rsidR="009346D5" w:rsidRPr="009346D5">
        <w:rPr>
          <w:noProof/>
        </w:rPr>
        <w:t>[15]</w:t>
      </w:r>
      <w:r w:rsidRPr="006C5CED">
        <w:fldChar w:fldCharType="end"/>
      </w:r>
      <w:r w:rsidRPr="006C5CED">
        <w:t xml:space="preserve">. Consumer brand awareness will arise when consumers receive information through effective marketing communication channels because it can reduce the risk of using the product </w:t>
      </w:r>
      <w:r w:rsidRPr="006C5CED">
        <w:fldChar w:fldCharType="begin" w:fldLock="1"/>
      </w:r>
      <w:r w:rsidR="009346D5">
        <w:instrText>ADDIN CSL_CITATION {"citationItems":[{"id":"ITEM-1","itemData":{"ISBN":"0520130049","author":[{"dropping-particle":"","family":"Sasmita","given":"Jumiati","non-dropping-particle":"","parse-names":false,"suffix":""},{"dropping-particle":"","family":"Suki","given":"Norazah Mohd","non-dropping-particle":"","parse-names":false,"suffix":""}],"container-title":"International Journal of Retail &amp; Distribution Management","id":"ITEM-1","issue":"3","issued":{"date-parts":[["2015"]]},"page":"276-292","title":"Young consumers’ insights on brand equity: Effects of brand association, brand loyalty, brand awareness, and brand image","type":"article-journal","volume":"43"},"uris":["http://www.mendeley.com/documents/?uuid=43c0390d-4a6d-4b4f-93d5-8ee1fe2ce9b5"]}],"mendeley":{"formattedCitation":"[17]","plainTextFormattedCitation":"[17]","previouslyFormattedCitation":"[17]"},"properties":{"noteIndex":0},"schema":"https://github.com/citation-style-language/schema/raw/master/csl-citation.json"}</w:instrText>
      </w:r>
      <w:r w:rsidRPr="006C5CED">
        <w:fldChar w:fldCharType="separate"/>
      </w:r>
      <w:r w:rsidR="009346D5" w:rsidRPr="009346D5">
        <w:rPr>
          <w:noProof/>
        </w:rPr>
        <w:t>[17]</w:t>
      </w:r>
      <w:r w:rsidRPr="006C5CED">
        <w:fldChar w:fldCharType="end"/>
      </w:r>
      <w:r w:rsidRPr="006C5CED">
        <w:t xml:space="preserve">. Brand awareness consists of brand recognition and brand recall </w:t>
      </w:r>
      <w:r w:rsidRPr="006C5CED">
        <w:fldChar w:fldCharType="begin" w:fldLock="1"/>
      </w:r>
      <w:r w:rsidR="009346D5">
        <w:instrText>ADDIN CSL_CITATION {"citationItems":[{"id":"ITEM-1","itemData":{"DOI":"10.1362/026725701323366836","ISSN":"14721376","abstract":"One difficult challenge for marketers is the large, diverse means of communication and communication options that are available to support their brands (e.g. TV, print, and interactive advertising; trade and consumer promotions; arts, sports, and cause sponsorships; etc.). Consequently, marketers must understand what various marketing communication options have to offer and how they should be combined to optimize their marketing communications programs. Towards that goal, this paper considers issues in how to develop, implement, and evaluate an integrated marketing communication program. Specifically, to provide micro perspectives -- especially relevant for academic research -- we introduce the Marketing Communication Tetrahedron as a means of classifying and analyzing factors influencing marketing communication effectiveness along four broad dimensions (i.e. factors related to the consumer, communication, response, and situation). To provide macro perspectives -- especially relevant for managerial planning -- we provide criteria as to how integrated marketing communication programs can be designed and evaluated as a whole (i.e. according to coverage, contribution, commonality, complementarity, robustness, and cost considerations). We also describe how the two perspectives relate and conclude by discussing theoretical and managerial implications and outlining future research directions.","author":[{"dropping-particle":"","family":"Keller","given":"Kevin Lane","non-dropping-particle":"","parse-names":false,"suffix":""}],"container-title":"Journal of Marketing Management","id":"ITEM-1","issue":"7-8","issued":{"date-parts":[["2001"]]},"page":"819-847","title":"Mastering the Marketing Communications Mix: Micro and Macro Perspectives on Integrated Marketing Communication Programs","type":"article-journal","volume":"17"},"uris":["http://www.mendeley.com/documents/?uuid=83a6c5ae-3fb5-42e7-8f9b-b1f8e849f751"]},{"id":"ITEM-2","itemData":{"DOI":"10.1002/mar.4220090402","ISSN":"15206793","abstract":"A model is described that helps guide advertising strategy, based upon careful attention to brand awareness and brand attitude. In this model, an important distinction is drawn between recognition brand awareness and recall brand awareness. Brand attitude strategy is seen as reflecting an interaction between a potential consumer's involvement with the purchase decision and the underlying motivation to purchase. Applications of the model are discussed. Copyright © 1992 Wiley Periodicals, Inc., A Wiley Company","author":[{"dropping-particle":"","family":"Percy","given":"Larry","non-dropping-particle":"","parse-names":false,"suffix":""},{"dropping-particle":"","family":"Rossiter","given":"John R.","non-dropping-particle":"","parse-names":false,"suffix":""}],"container-title":"Psychology &amp; Marketing","id":"ITEM-2","issue":"4","issued":{"date-parts":[["1992"]]},"page":"263-274","title":"A model of brand awareness and brand attitude advertising strategies","type":"article-journal","volume":"9"},"uris":["http://www.mendeley.com/documents/?uuid=8f2b5c8e-8af4-4fc2-bcbe-6f2dc911cd38"]}],"mendeley":{"formattedCitation":"[9], [18]","plainTextFormattedCitation":"[9], [18]","previouslyFormattedCitation":"[9], [18]"},"properties":{"noteIndex":0},"schema":"https://github.com/citation-style-language/schema/raw/master/csl-citation.json"}</w:instrText>
      </w:r>
      <w:r w:rsidRPr="006C5CED">
        <w:fldChar w:fldCharType="separate"/>
      </w:r>
      <w:r w:rsidR="009346D5" w:rsidRPr="009346D5">
        <w:rPr>
          <w:noProof/>
        </w:rPr>
        <w:t>[9], [18]</w:t>
      </w:r>
      <w:r w:rsidRPr="006C5CED">
        <w:fldChar w:fldCharType="end"/>
      </w:r>
      <w:r w:rsidRPr="006C5CED">
        <w:t xml:space="preserve">. Brand recognition is related to the ability of consumers to recognize a brand both visually and verbally after being exposed to marketing communications by the company </w:t>
      </w:r>
      <w:r w:rsidRPr="006C5CED">
        <w:fldChar w:fldCharType="begin" w:fldLock="1"/>
      </w:r>
      <w:r w:rsidR="009346D5">
        <w:instrText>ADDIN CSL_CITATION {"citationItems":[{"id":"ITEM-1","itemData":{"DOI":"10.1057/bm.1998.36","ISBN":"9780132664257","ISSN":"1350-231X","abstract":"\"Strategic Brand Management approaches the subject of brand management from a unique combination of sociological and cultural perspectives. This approach provides students with an understanding of the dynamics of the subject and enables them to engage with the issues that lie within. The book integrates more traditional notions of the brand, such as equity and positioning, within this innovative framework. The framework also allows the separation of a brand's concept into functional and emotional parts, looking a purchases that fulfil a functional need and how these develop into emotional decision-making processes.\"-BOOK JACKET.","author":[{"dropping-particle":"","family":"Keller","given":"Kevin Lane","non-dropping-particle":"","parse-names":false,"suffix":""}],"container-title":"Journal of Brand Management","edition":"4 th Globa","editor":[{"dropping-particle":"","family":"Stephanie Wall","given":"","non-dropping-particle":"","parse-names":false,"suffix":""}],"id":"ITEM-1","issued":{"date-parts":[["2013"]]},"number-of-pages":"457-459","publisher":"Pearson","title":"Strategic brand management: Building, Measuring, and Managing Brand Equity","type":"book"},"uris":["http://www.mendeley.com/documents/?uuid=68989216-cd9d-4c7b-b434-0ba342a0c1f5"]},{"id":"ITEM-2","itemData":{"DOI":"10.1002/mar.4220090402","ISSN":"15206793","abstract":"A model is described that helps guide advertising strategy, based upon careful attention to brand awareness and brand attitude. In this model, an important distinction is drawn between recognition brand awareness and recall brand awareness. Brand attitude strategy is seen as reflecting an interaction between a potential consumer's involvement with the purchase decision and the underlying motivation to purchase. Applications of the model are discussed. Copyright © 1992 Wiley Periodicals, Inc., A Wiley Company","author":[{"dropping-particle":"","family":"Percy","given":"Larry","non-dropping-particle":"","parse-names":false,"suffix":""},{"dropping-particle":"","family":"Rossiter","given":"John R.","non-dropping-particle":"","parse-names":false,"suffix":""}],"container-title":"Psychology &amp; Marketing","id":"ITEM-2","issue":"4","issued":{"date-parts":[["1992"]]},"page":"263-274","title":"A model of brand awareness and brand attitude advertising strategies","type":"article-journal","volume":"9"},"uris":["http://www.mendeley.com/documents/?uuid=8f2b5c8e-8af4-4fc2-bcbe-6f2dc911cd38"]}],"mendeley":{"formattedCitation":"[18], [19]","plainTextFormattedCitation":"[18], [19]","previouslyFormattedCitation":"[18], [19]"},"properties":{"noteIndex":0},"schema":"https://github.com/citation-style-language/schema/raw/master/csl-citation.json"}</w:instrText>
      </w:r>
      <w:r w:rsidRPr="006C5CED">
        <w:fldChar w:fldCharType="separate"/>
      </w:r>
      <w:r w:rsidR="009346D5" w:rsidRPr="009346D5">
        <w:rPr>
          <w:noProof/>
        </w:rPr>
        <w:t>[18], [19]</w:t>
      </w:r>
      <w:r w:rsidRPr="006C5CED">
        <w:fldChar w:fldCharType="end"/>
      </w:r>
      <w:r w:rsidRPr="006C5CED">
        <w:t xml:space="preserve">, brand recall is the ability of consumers to recall a brand when given a product category </w:t>
      </w:r>
      <w:r w:rsidRPr="006C5CED">
        <w:fldChar w:fldCharType="begin" w:fldLock="1"/>
      </w:r>
      <w:r w:rsidR="009346D5">
        <w:instrText>ADDIN CSL_CITATION {"citationItems":[{"id":"ITEM-1","itemData":{"DOI":"10.1057/bm.1998.36","ISBN":"9780132664257","ISSN":"1350-231X","abstract":"\"Strategic Brand Management approaches the subject of brand management from a unique combination of sociological and cultural perspectives. This approach provides students with an understanding of the dynamics of the subject and enables them to engage with the issues that lie within. The book integrates more traditional notions of the brand, such as equity and positioning, within this innovative framework. The framework also allows the separation of a brand's concept into functional and emotional parts, looking a purchases that fulfil a functional need and how these develop into emotional decision-making processes.\"-BOOK JACKET.","author":[{"dropping-particle":"","family":"Keller","given":"Kevin Lane","non-dropping-particle":"","parse-names":false,"suffix":""}],"container-title":"Journal of Brand Management","edition":"4 th Globa","editor":[{"dropping-particle":"","family":"Stephanie Wall","given":"","non-dropping-particle":"","parse-names":false,"suffix":""}],"id":"ITEM-1","issued":{"date-parts":[["2013"]]},"number-of-pages":"457-459","publisher":"Pearson","title":"Strategic brand management: Building, Measuring, and Managing Brand Equity","type":"book"},"uris":["http://www.mendeley.com/documents/?uuid=68989216-cd9d-4c7b-b434-0ba342a0c1f5"]}],"mendeley":{"formattedCitation":"[19]","plainTextFormattedCitation":"[19]","previouslyFormattedCitation":"[19]"},"properties":{"noteIndex":0},"schema":"https://github.com/citation-style-language/schema/raw/master/csl-citation.json"}</w:instrText>
      </w:r>
      <w:r w:rsidRPr="006C5CED">
        <w:fldChar w:fldCharType="separate"/>
      </w:r>
      <w:r w:rsidR="009346D5" w:rsidRPr="009346D5">
        <w:rPr>
          <w:noProof/>
        </w:rPr>
        <w:t>[19]</w:t>
      </w:r>
      <w:r w:rsidRPr="006C5CED">
        <w:fldChar w:fldCharType="end"/>
      </w:r>
      <w:r w:rsidRPr="006C5CED">
        <w:t xml:space="preserve">. In a buying situation where the brand is not known, brand recognition will be experienced first by consumers and then brand recall </w:t>
      </w:r>
      <w:r w:rsidRPr="006C5CED">
        <w:fldChar w:fldCharType="begin" w:fldLock="1"/>
      </w:r>
      <w:r w:rsidR="009346D5">
        <w:instrText>ADDIN CSL_CITATION {"citationItems":[{"id":"ITEM-1","itemData":{"DOI":"10.1002/mar.4220090402","ISSN":"15206793","abstract":"A model is described that helps guide advertising strategy, based upon careful attention to brand awareness and brand attitude. In this model, an important distinction is drawn between recognition brand awareness and recall brand awareness. Brand attitude strategy is seen as reflecting an interaction between a potential consumer's involvement with the purchase decision and the underlying motivation to purchase. Applications of the model are discussed. Copyright © 1992 Wiley Periodicals, Inc., A Wiley Company","author":[{"dropping-particle":"","family":"Percy","given":"Larry","non-dropping-particle":"","parse-names":false,"suffix":""},{"dropping-particle":"","family":"Rossiter","given":"John R.","non-dropping-particle":"","parse-names":false,"suffix":""}],"container-title":"Psychology &amp; Marketing","id":"ITEM-1","issue":"4","issued":{"date-parts":[["1992"]]},"page":"263-274","title":"A model of brand awareness and brand attitude advertising strategies","type":"article-journal","volume":"9"},"uris":["http://www.mendeley.com/documents/?uuid=8f2b5c8e-8af4-4fc2-bcbe-6f2dc911cd38"]}],"mendeley":{"formattedCitation":"[18]","plainTextFormattedCitation":"[18]","previouslyFormattedCitation":"[18]"},"properties":{"noteIndex":0},"schema":"https://github.com/citation-style-language/schema/raw/master/csl-citation.json"}</w:instrText>
      </w:r>
      <w:r w:rsidRPr="006C5CED">
        <w:fldChar w:fldCharType="separate"/>
      </w:r>
      <w:r w:rsidR="009346D5" w:rsidRPr="009346D5">
        <w:rPr>
          <w:noProof/>
        </w:rPr>
        <w:t>[18]</w:t>
      </w:r>
      <w:r w:rsidRPr="006C5CED">
        <w:fldChar w:fldCharType="end"/>
      </w:r>
      <w:r w:rsidRPr="006C5CED">
        <w:t xml:space="preserve">. </w:t>
      </w:r>
    </w:p>
    <w:p w:rsidR="00850D2A" w:rsidRDefault="00850D2A">
      <w:pPr>
        <w:jc w:val="both"/>
      </w:pPr>
    </w:p>
    <w:p w:rsidR="00DB1262" w:rsidRPr="00EF6857" w:rsidRDefault="00DB1262" w:rsidP="00DB1262">
      <w:pPr>
        <w:jc w:val="both"/>
        <w:rPr>
          <w:b/>
          <w:lang w:val="id-ID"/>
        </w:rPr>
      </w:pPr>
      <w:r w:rsidRPr="006C5CED">
        <w:rPr>
          <w:b/>
        </w:rPr>
        <w:t>2.3 Purchase</w:t>
      </w:r>
      <w:r w:rsidRPr="006C5CED">
        <w:rPr>
          <w:b/>
          <w:lang w:val="id-ID"/>
        </w:rPr>
        <w:t xml:space="preserve"> Intention</w:t>
      </w:r>
    </w:p>
    <w:p w:rsidR="00DB1262" w:rsidRPr="006C5CED" w:rsidRDefault="00DB1262" w:rsidP="00EF6857">
      <w:pPr>
        <w:ind w:firstLine="426"/>
        <w:jc w:val="both"/>
      </w:pPr>
      <w:r w:rsidRPr="006C5CED">
        <w:t xml:space="preserve">Purchase intention is the possibility that a customer will buy a certain product </w:t>
      </w:r>
      <w:r w:rsidRPr="006C5CED">
        <w:fldChar w:fldCharType="begin" w:fldLock="1"/>
      </w:r>
      <w:r w:rsidR="009346D5">
        <w:instrText>ADDIN CSL_CITATION {"citationItems":[{"id":"ITEM-1","itemData":{"DOI":"10.1016/s0262-1762(00)90203-7","ISSN":"00185973","author":[{"dropping-particle":"","family":"Wang","given":"Ya-Hui","non-dropping-particle":"","parse-names":false,"suffix":""},{"dropping-particle":"","family":"Tsai","given":"Cing-Fen","non-dropping-particle":"","parse-names":false,"suffix":""}],"container-title":"The International Journal of Business and Finance Research","id":"ITEM-1","issue":"2","issued":{"date-parts":[["2014"]]},"page":"27-40","title":"The Relationship between Brand Image and Purchase Intention: Evidence from Award Winning Mutual Funds","type":"article-journal","volume":"8"},"uris":["http://www.mendeley.com/documents/?uuid=140bf81a-4da1-4060-acac-92afa6333d84"]}],"mendeley":{"formattedCitation":"[20]","plainTextFormattedCitation":"[20]","previouslyFormattedCitation":"[20]"},"properties":{"noteIndex":0},"schema":"https://github.com/citation-style-language/schema/raw/master/csl-citation.json"}</w:instrText>
      </w:r>
      <w:r w:rsidRPr="006C5CED">
        <w:fldChar w:fldCharType="separate"/>
      </w:r>
      <w:r w:rsidR="009346D5" w:rsidRPr="009346D5">
        <w:rPr>
          <w:noProof/>
        </w:rPr>
        <w:t>[20]</w:t>
      </w:r>
      <w:r w:rsidRPr="006C5CED">
        <w:fldChar w:fldCharType="end"/>
      </w:r>
      <w:r w:rsidRPr="006C5CED">
        <w:t xml:space="preserve">. Theory Reasoned Action predicts consumer buying behavior by measuring their intention to buy before they make a purchase (Keller, 2013).  Theory of Planned Behavior (TPB) which is a refinement of Theory Reasoned Action. In this theory, purchasing behavior is related to processes that indirectly affect behavior, namely attitude, subjective norms, and perceived behavioral control. Theory of Planned Behavior describes the relationship between attitudes, subjective norms, and perceived behavioral control that affects a person's intention to behave </w:t>
      </w:r>
      <w:r w:rsidRPr="006C5CED">
        <w:fldChar w:fldCharType="begin" w:fldLock="1"/>
      </w:r>
      <w:r w:rsidR="009346D5">
        <w:instrText>ADDIN CSL_CITATION {"citationItems":[{"id":"ITEM-1","itemData":{"author":[{"dropping-particle":"","family":"Smith","given":"Joanne R","non-dropping-particle":"","parse-names":false,"suffix":""},{"dropping-particle":"","family":"Terry","given":"Deborah J","non-dropping-particle":"","parse-names":false,"suffix":""},{"dropping-particle":"","family":"Louis","given":"Winnifred R","non-dropping-particle":"","parse-names":false,"suffix":""},{"dropping-particle":"","family":"Kotterman","given":"Diana","non-dropping-particle":"","parse-names":false,"suffix":""}],"container-title":"The Journal of Social Psychology","id":"ITEM-1","issue":"3","issued":{"date-parts":[["2008"]]},"page":"311-333","title":"The Attitude – Behavior Relationship in Consumer Conduct : The Role of Norms , Past Behavior , and Self-Identity","type":"article-journal","volume":"148"},"uris":["http://www.mendeley.com/documents/?uuid=10eaf02d-53e0-4cc7-9934-15557394a3d1"]}],"mendeley":{"formattedCitation":"[21]","plainTextFormattedCitation":"[21]","previouslyFormattedCitation":"[21]"},"properties":{"noteIndex":0},"schema":"https://github.com/citation-style-language/schema/raw/master/csl-citation.json"}</w:instrText>
      </w:r>
      <w:r w:rsidRPr="006C5CED">
        <w:fldChar w:fldCharType="separate"/>
      </w:r>
      <w:r w:rsidR="009346D5" w:rsidRPr="009346D5">
        <w:rPr>
          <w:noProof/>
        </w:rPr>
        <w:t>[21]</w:t>
      </w:r>
      <w:r w:rsidRPr="006C5CED">
        <w:fldChar w:fldCharType="end"/>
      </w:r>
      <w:r w:rsidRPr="006C5CED">
        <w:t>.</w:t>
      </w:r>
    </w:p>
    <w:p w:rsidR="00DB1262" w:rsidRDefault="00DB1262">
      <w:pPr>
        <w:jc w:val="both"/>
      </w:pPr>
    </w:p>
    <w:p w:rsidR="00AC23C6" w:rsidRPr="006C5CED" w:rsidRDefault="00AC23C6" w:rsidP="00AC23C6">
      <w:pPr>
        <w:jc w:val="both"/>
        <w:rPr>
          <w:b/>
        </w:rPr>
      </w:pPr>
      <w:r w:rsidRPr="006C5CED">
        <w:rPr>
          <w:b/>
        </w:rPr>
        <w:t xml:space="preserve">2.4 Hierarchy of Effect (HOE) </w:t>
      </w:r>
    </w:p>
    <w:p w:rsidR="00AC23C6" w:rsidRPr="006C5CED" w:rsidRDefault="00AC23C6" w:rsidP="00EF6857">
      <w:pPr>
        <w:ind w:firstLine="426"/>
        <w:jc w:val="both"/>
      </w:pPr>
      <w:r w:rsidRPr="006C5CED">
        <w:t xml:space="preserve">The hierarchy-of-effects models originally developed for communication and advertising and can be better understood in the marketing communication decision process </w:t>
      </w:r>
      <w:r w:rsidRPr="006C5CED">
        <w:fldChar w:fldCharType="begin" w:fldLock="1"/>
      </w:r>
      <w:r w:rsidR="009346D5">
        <w:instrText>ADDIN CSL_CITATION {"citationItems":[{"id":"ITEM-1","itemData":{"DOI":"10.1108/JPBM-05-2013-0299","ISSN":"10610421","abstract":"Purpose: The purpose of this article is to analyze how social media activities, in specifically the Facebook page of a car manufacturer, and user interactions with these brand related activities affect the perception of brands and ultimately influence consumers purchase decision. Based on an online survey with users of the corporation's Facebook fanpage, and in accordance to hierarchy of effects theory the author's findings show the positive effect of fanpage engagement on consumers' brand awareness, word of mouth (WOM) activities, and purchase intention. The findings further indicate that annoyance with the fanpage due to information overload leads to negative effects on fanpage commitment and to decreased WOM activities. From a theoretical standpoint the results of this study contribute to understanding of the value-enhancing potential of social media campaigns. Design/methodology/approach: To answer the authors' research questions and test their hypotheses, a study was set up in cooperation with the car brand MINI. To test their hypotheses, the authors applied structural equation modeling with AMOS 18. Findings: The article analyzes the influence of brands' social media activities and participants' social media involvement on the purchase decision process of consumers. Their findings demonstrate that engagement with a Facebook fanpage has positive effects on consumers' brand awareness, WOM activities and purchase intention. Results further indicate that annoyance with the fanpage leads to negative effects in respect to the overall commitment to and involvement with the fanpage and WOM. The authors' research shows that social media activities indeed affect the purchase decision-making process. Originality/value: New marketing communication reality presents new challenges and opportunities for companies as purchase decisions are increasingly influenced by social media interactions. People rely more than ever on their social networks when making those decisions. Nevertheless, outcomes of social media activities are still disputed in practice. The effects of social media campaigns on consumers' perception of products and brands as well as the effects on purchase decisions have yet to be better understood. This study therefore investigates how social media activities, in specific the Facebook appearance of a car manufacturer, affect the perception of brands, and ultimately influence the purchase decision process of consumers while considering the risk of …","author":[{"dropping-particle":"","family":"Hutter","given":"Katja","non-dropping-particle":"","parse-names":false,"suffix":""},{"dropping-particle":"","family":"Hautz","given":"Julia","non-dropping-particle":"","parse-names":false,"suffix":""},{"dropping-particle":"","family":"Dennhardt","given":"Severin","non-dropping-particle":"","parse-names":false,"suffix":""},{"dropping-particle":"","family":"Füller","given":"Johann","non-dropping-particle":"","parse-names":false,"suffix":""}],"container-title":"Journal of Product and Brand Management","id":"ITEM-1","issue":"5","issued":{"date-parts":[["2013"]]},"page":"342-351","title":"The impact of user interactions in social media on brand awareness and purchase intention: The case of MINI on Facebook","type":"article-journal","volume":"22"},"uris":["http://www.mendeley.com/documents/?uuid=7d645134-41d7-4e40-8d36-8b94afd58120"]}],"mendeley":{"formattedCitation":"[22]","plainTextFormattedCitation":"[22]","previouslyFormattedCitation":"[22]"},"properties":{"noteIndex":0},"schema":"https://github.com/citation-style-language/schema/raw/master/csl-citation.json"}</w:instrText>
      </w:r>
      <w:r w:rsidRPr="006C5CED">
        <w:fldChar w:fldCharType="separate"/>
      </w:r>
      <w:r w:rsidR="009346D5" w:rsidRPr="009346D5">
        <w:rPr>
          <w:noProof/>
        </w:rPr>
        <w:t>[22]</w:t>
      </w:r>
      <w:r w:rsidRPr="006C5CED">
        <w:fldChar w:fldCharType="end"/>
      </w:r>
      <w:r w:rsidRPr="006C5CED">
        <w:t xml:space="preserve">. The hierarchical model that is widely used is the model stated by Lavidge and Steiner which consists of six stages: awareness, knowledge, liking, preference, conviction, purchase </w:t>
      </w:r>
      <w:r w:rsidRPr="006C5CED">
        <w:fldChar w:fldCharType="begin" w:fldLock="1"/>
      </w:r>
      <w:r w:rsidR="009346D5">
        <w:instrText>ADDIN CSL_CITATION {"citationItems":[{"id":"ITEM-1","itemData":{"author":[{"dropping-particle":"","family":"Howard","given":"D","non-dropping-particle":"","parse-names":false,"suffix":""},{"dropping-particle":"","family":"Barry","given":"T","non-dropping-particle":"","parse-names":false,"suffix":""}],"container-title":"International Journal of Advertising","id":"ITEM-1","issue":"2","issued":{"date-parts":[["1990"]]},"page":"121-135","title":"A review and critique of the hierarchy of effects in advertising","type":"article-journal","volume":"9"},"uris":["http://www.mendeley.com/documents/?uuid=8d7fec32-17ee-4144-85b4-72f6a859e0eb"]}],"mendeley":{"formattedCitation":"[23]","plainTextFormattedCitation":"[23]","previouslyFormattedCitation":"[23]"},"properties":{"noteIndex":0},"schema":"https://github.com/citation-style-language/schema/raw/master/csl-citation.json"}</w:instrText>
      </w:r>
      <w:r w:rsidRPr="006C5CED">
        <w:fldChar w:fldCharType="separate"/>
      </w:r>
      <w:r w:rsidR="009346D5" w:rsidRPr="009346D5">
        <w:rPr>
          <w:noProof/>
        </w:rPr>
        <w:t>[23]</w:t>
      </w:r>
      <w:r w:rsidRPr="006C5CED">
        <w:fldChar w:fldCharType="end"/>
      </w:r>
      <w:r w:rsidRPr="006C5CED">
        <w:t>. In advertising, hierarchies also appear in the form of the acronym AIDA (attention, interest-desire-action) which is widely used in the marketing and advertising literature</w:t>
      </w:r>
      <w:r w:rsidRPr="006C5CED">
        <w:fldChar w:fldCharType="begin" w:fldLock="1"/>
      </w:r>
      <w:r w:rsidR="009346D5">
        <w:instrText>ADDIN CSL_CITATION {"citationItems":[{"id":"ITEM-1","itemData":{"author":[{"dropping-particle":"","family":"Howard","given":"D","non-dropping-particle":"","parse-names":false,"suffix":""},{"dropping-particle":"","family":"Barry","given":"T","non-dropping-particle":"","parse-names":false,"suffix":""}],"container-title":"International Journal of Advertising","id":"ITEM-1","issue":"2","issued":{"date-parts":[["1990"]]},"page":"121-135","title":"A review and critique of the hierarchy of effects in advertising","type":"article-journal","volume":"9"},"uris":["http://www.mendeley.com/documents/?uuid=8d7fec32-17ee-4144-85b4-72f6a859e0eb"]},{"id":"ITEM-2","itemData":{"DOI":"10.1108/JPBM-05-2013-0299","ISSN":"10610421","abstract":"Purpose: The purpose of this article is to analyze how social media activities, in specifically the Facebook page of a car manufacturer, and user interactions with these brand related activities affect the perception of brands and ultimately influence consumers purchase decision. Based on an online survey with users of the corporation's Facebook fanpage, and in accordance to hierarchy of effects theory the author's findings show the positive effect of fanpage engagement on consumers' brand awareness, word of mouth (WOM) activities, and purchase intention. The findings further indicate that annoyance with the fanpage due to information overload leads to negative effects on fanpage commitment and to decreased WOM activities. From a theoretical standpoint the results of this study contribute to understanding of the value-enhancing potential of social media campaigns. Design/methodology/approach: To answer the authors' research questions and test their hypotheses, a study was set up in cooperation with the car brand MINI. To test their hypotheses, the authors applied structural equation modeling with AMOS 18. Findings: The article analyzes the influence of brands' social media activities and participants' social media involvement on the purchase decision process of consumers. Their findings demonstrate that engagement with a Facebook fanpage has positive effects on consumers' brand awareness, WOM activities and purchase intention. Results further indicate that annoyance with the fanpage leads to negative effects in respect to the overall commitment to and involvement with the fanpage and WOM. The authors' research shows that social media activities indeed affect the purchase decision-making process. Originality/value: New marketing communication reality presents new challenges and opportunities for companies as purchase decisions are increasingly influenced by social media interactions. People rely more than ever on their social networks when making those decisions. Nevertheless, outcomes of social media activities are still disputed in practice. The effects of social media campaigns on consumers' perception of products and brands as well as the effects on purchase decisions have yet to be better understood. This study therefore investigates how social media activities, in specific the Facebook appearance of a car manufacturer, affect the perception of brands, and ultimately influence the purchase decision process of consumers while considering the risk of …","author":[{"dropping-particle":"","family":"Hutter","given":"Katja","non-dropping-particle":"","parse-names":false,"suffix":""},{"dropping-particle":"","family":"Hautz","given":"Julia","non-dropping-particle":"","parse-names":false,"suffix":""},{"dropping-particle":"","family":"Dennhardt","given":"Severin","non-dropping-particle":"","parse-names":false,"suffix":""},{"dropping-particle":"","family":"Füller","given":"Johann","non-dropping-particle":"","parse-names":false,"suffix":""}],"container-title":"Journal of Product and Brand Management","id":"ITEM-2","issue":"5","issued":{"date-parts":[["2013"]]},"page":"342-351","title":"The impact of user interactions in social media on brand awareness and purchase intention: The case of MINI on Facebook","type":"article-journal","volume":"22"},"uris":["http://www.mendeley.com/documents/?uuid=7d645134-41d7-4e40-8d36-8b94afd58120"]}],"mendeley":{"formattedCitation":"[22], [23]","plainTextFormattedCitation":"[22], [23]","previouslyFormattedCitation":"[22], [23]"},"properties":{"noteIndex":0},"schema":"https://github.com/citation-style-language/schema/raw/master/csl-citation.json"}</w:instrText>
      </w:r>
      <w:r w:rsidRPr="006C5CED">
        <w:fldChar w:fldCharType="separate"/>
      </w:r>
      <w:r w:rsidR="009346D5" w:rsidRPr="009346D5">
        <w:rPr>
          <w:noProof/>
        </w:rPr>
        <w:t>[22], [23]</w:t>
      </w:r>
      <w:r w:rsidRPr="006C5CED">
        <w:fldChar w:fldCharType="end"/>
      </w:r>
      <w:r w:rsidRPr="006C5CED">
        <w:t xml:space="preserve">. Research conducted by </w:t>
      </w:r>
      <w:r w:rsidRPr="006C5CED">
        <w:fldChar w:fldCharType="begin" w:fldLock="1"/>
      </w:r>
      <w:r w:rsidR="009346D5">
        <w:instrText>ADDIN CSL_CITATION {"citationItems":[{"id":"ITEM-1","itemData":{"abstract":"Islamic banking is one of the most developing sectors in Pakistan. This study reveals the relationship between consumer behavior towards bank selection criteria and customer satisfaction. For this purpose, data was collected from a sample of 200 consumers in different Islamic bank in Multan through a structured questionnaire containing 30 questions. SPSS 17 has been used for data analysis. Correlation and regression analysis, ordinary least square (OLS ) method was use to find out relationship among independent variables( religion, high profit &amp;low service charges, influence of friends &amp; family, service quality, responsive attitude of staff ,mass media &amp; bank image) and dependent variable (customer satisfaction). The findings show positive and significant relationship among all variables and customer satisfaction partially mediates the relationship between independent variables and dependent variables. We conclude that customers’ satisfaction is increasing day after day and their commitment is strong with the Islamic banks.","author":[{"dropping-particle":"","family":"Awan","given":"Abdul Ghafoor","non-dropping-particle":"","parse-names":false,"suffix":""},{"dropping-particle":"","family":"Maliha","given":"Azhar","non-dropping-particle":"","parse-names":false,"suffix":""}],"container-title":"European Journal of Accounting Auditing and Finance Research","id":"ITEM-1","issue":"9","issued":{"date-parts":[["2014"]]},"page":"42-65","title":"Consumer Behavior Towards Islamic Banking in Pakistan","type":"article-journal","volume":"2"},"uris":["http://www.mendeley.com/documents/?uuid=18f7ff8a-33b5-4af1-84d1-6592341d9b4d"]}],"mendeley":{"formattedCitation":"[7]","plainTextFormattedCitation":"[7]","previouslyFormattedCitation":"[7]"},"properties":{"noteIndex":0},"schema":"https://github.com/citation-style-language/schema/raw/master/csl-citation.json"}</w:instrText>
      </w:r>
      <w:r w:rsidRPr="006C5CED">
        <w:fldChar w:fldCharType="separate"/>
      </w:r>
      <w:r w:rsidR="009346D5" w:rsidRPr="009346D5">
        <w:rPr>
          <w:noProof/>
        </w:rPr>
        <w:t>[7]</w:t>
      </w:r>
      <w:r w:rsidRPr="006C5CED">
        <w:fldChar w:fldCharType="end"/>
      </w:r>
      <w:r w:rsidRPr="006C5CED">
        <w:t xml:space="preserve"> shows that proper marketing and promotion of Islamic financial products and services will help to increase the goodwill and reputation of Syariah banks. Based on this, the research hypothesis is formulated:</w:t>
      </w:r>
    </w:p>
    <w:p w:rsidR="00AC23C6" w:rsidRPr="006C5CED" w:rsidRDefault="00AC23C6" w:rsidP="00AC23C6">
      <w:pPr>
        <w:jc w:val="both"/>
      </w:pPr>
      <w:r w:rsidRPr="006C5CED">
        <w:t>H2: Marketing communication affects purchase intention.</w:t>
      </w:r>
    </w:p>
    <w:p w:rsidR="00AC23C6" w:rsidRDefault="00AC23C6" w:rsidP="00AC23C6">
      <w:r w:rsidRPr="006C5CED">
        <w:t>H3: Brand awareness mediates the effect of marketing communication on purchase intention</w:t>
      </w:r>
    </w:p>
    <w:p w:rsidR="00AC23C6" w:rsidRDefault="00AC23C6" w:rsidP="00AC23C6"/>
    <w:p w:rsidR="00AC23C6" w:rsidRPr="009346D5" w:rsidRDefault="00AC23C6" w:rsidP="00AC23C6">
      <w:pPr>
        <w:pStyle w:val="ListParagraph"/>
        <w:numPr>
          <w:ilvl w:val="0"/>
          <w:numId w:val="2"/>
        </w:numPr>
        <w:ind w:left="426"/>
        <w:jc w:val="both"/>
        <w:rPr>
          <w:rFonts w:ascii="Times New Roman" w:hAnsi="Times New Roman" w:cs="Times New Roman"/>
          <w:b/>
          <w:sz w:val="24"/>
          <w:szCs w:val="24"/>
        </w:rPr>
      </w:pPr>
      <w:r w:rsidRPr="009346D5">
        <w:rPr>
          <w:rFonts w:ascii="Times New Roman" w:hAnsi="Times New Roman" w:cs="Times New Roman"/>
          <w:b/>
          <w:sz w:val="24"/>
          <w:szCs w:val="24"/>
        </w:rPr>
        <w:t>Methodology and Data Analysis</w:t>
      </w:r>
    </w:p>
    <w:p w:rsidR="0071293C" w:rsidRPr="0071293C" w:rsidRDefault="0071293C" w:rsidP="0071293C">
      <w:pPr>
        <w:ind w:left="66" w:firstLine="360"/>
        <w:jc w:val="both"/>
        <w:rPr>
          <w:b/>
          <w:sz w:val="24"/>
          <w:szCs w:val="24"/>
        </w:rPr>
      </w:pPr>
      <w:r w:rsidRPr="006C5CED">
        <w:t xml:space="preserve">This study used quantitative research with a survey method. The research sample was taken using nonprobability sampling. The number of samples in this study was 300, it is sufficient to analyze using SEM </w:t>
      </w:r>
      <w:r w:rsidRPr="006C5CED">
        <w:fldChar w:fldCharType="begin" w:fldLock="1"/>
      </w:r>
      <w:r w:rsidR="00EF6857">
        <w:instrText>ADDIN CSL_CITATION {"citationItems":[{"id":"ITEM-1","itemData":{"author":[{"dropping-particle":"","family":"Hair","given":"Joseph F","non-dropping-particle":"","parse-names":false,"suffix":""},{"dropping-particle":"","family":"Black","given":"William C","non-dropping-particle":"","parse-names":false,"suffix":""},{"dropping-particle":"","family":"Babin","given":"Barry J","non-dropping-particle":"","parse-names":false,"suffix":""},{"dropping-particle":"","family":"Anderson","given":"Rolph E","non-dropping-particle":"","parse-names":false,"suffix":""}],"edition":"seventh ed","editor":[{"dropping-particle":"","family":"Yagan","given":"Sally","non-dropping-particle":"","parse-names":false,"suffix":""}],"id":"ITEM-1","issued":{"date-parts":[["2010"]]},"number-of-pages":"800","publisher":"Pearson","publisher-place":"New York","title":"Multivariate data analysis","type":"book"},"uris":["http://www.mendeley.com/documents/?uuid=b1ca8f4d-6cf9-4a0b-804d-5ad44e542d40"]}],"mendeley":{"formattedCitation":"[24]","plainTextFormattedCitation":"[24]","previouslyFormattedCitation":"[24]"},"properties":{"noteIndex":0},"schema":"https://github.com/citation-style-language/schema/raw/master/csl-citation.json"}</w:instrText>
      </w:r>
      <w:r w:rsidRPr="006C5CED">
        <w:fldChar w:fldCharType="separate"/>
      </w:r>
      <w:r w:rsidR="00EF6857" w:rsidRPr="00EF6857">
        <w:rPr>
          <w:noProof/>
        </w:rPr>
        <w:t>[24]</w:t>
      </w:r>
      <w:r w:rsidRPr="006C5CED">
        <w:fldChar w:fldCharType="end"/>
      </w:r>
      <w:r w:rsidRPr="006C5CED">
        <w:t>. Respondents in this study were college students in the city of Bandar Lampung. Data analysis was performed using Structural Equation Modeling (SEM).</w:t>
      </w:r>
    </w:p>
    <w:p w:rsidR="00850D2A" w:rsidRDefault="00850D2A" w:rsidP="00AC23C6">
      <w:pPr>
        <w:rPr>
          <w:b/>
          <w:sz w:val="18"/>
          <w:szCs w:val="18"/>
        </w:rPr>
      </w:pPr>
    </w:p>
    <w:p w:rsidR="0071293C" w:rsidRPr="009346D5" w:rsidRDefault="00EF6857" w:rsidP="0071293C">
      <w:pPr>
        <w:pStyle w:val="ListParagraph"/>
        <w:numPr>
          <w:ilvl w:val="0"/>
          <w:numId w:val="2"/>
        </w:numPr>
        <w:ind w:left="426"/>
        <w:jc w:val="both"/>
        <w:rPr>
          <w:rFonts w:ascii="Times New Roman" w:hAnsi="Times New Roman" w:cs="Times New Roman"/>
          <w:b/>
          <w:sz w:val="24"/>
          <w:szCs w:val="24"/>
        </w:rPr>
      </w:pPr>
      <w:r>
        <w:rPr>
          <w:rFonts w:ascii="Times New Roman" w:hAnsi="Times New Roman" w:cs="Times New Roman"/>
          <w:b/>
          <w:sz w:val="24"/>
          <w:szCs w:val="24"/>
          <w:lang w:val="id-ID"/>
        </w:rPr>
        <w:t>Research Result and Discussion</w:t>
      </w:r>
    </w:p>
    <w:p w:rsidR="0071293C" w:rsidRPr="006C5CED" w:rsidRDefault="0071293C" w:rsidP="00EF6857">
      <w:pPr>
        <w:ind w:firstLine="426"/>
        <w:jc w:val="both"/>
      </w:pPr>
      <w:r w:rsidRPr="006C5CED">
        <w:t xml:space="preserve">The validity test was carried out using factor analysis, showing that the value factor loading for all statement items was greater than 0.5 so that all statement items were declared valid. The results of the reliability test showed that the Cronbach's alpha value was greater than 0.7 so that all research variables were reliable. Respondents in this study were 300 students from eleven </w:t>
      </w:r>
      <w:r w:rsidRPr="006C5CED">
        <w:lastRenderedPageBreak/>
        <w:t>universities in Bandar Lampung. The respondents’ age is majority around 20-22 years old (59.7%), in general, they are sitting in four to eight semesters in higher education. The largest respondent in this study was female (65%). Most of the respondents know about Syariah banks (91%) and have received information about Syariah banks (71%) from lectures, seminars, advertisements, family, or from Syariah bank websites. However, most respondents (68%) have never used the services of a Syariah bank, either for transfers, paying tuition fees, or other transactions.</w:t>
      </w:r>
    </w:p>
    <w:p w:rsidR="0071293C" w:rsidRDefault="0071293C" w:rsidP="00AC23C6">
      <w:pPr>
        <w:rPr>
          <w:b/>
          <w:sz w:val="18"/>
          <w:szCs w:val="18"/>
        </w:rPr>
      </w:pPr>
    </w:p>
    <w:p w:rsidR="0071293C" w:rsidRPr="006C5CED" w:rsidRDefault="0071293C" w:rsidP="0071293C">
      <w:pPr>
        <w:jc w:val="both"/>
        <w:rPr>
          <w:b/>
        </w:rPr>
      </w:pPr>
      <w:r w:rsidRPr="006C5CED">
        <w:rPr>
          <w:b/>
        </w:rPr>
        <w:t>4.1 Feasibility Test Research Model</w:t>
      </w:r>
    </w:p>
    <w:p w:rsidR="0071293C" w:rsidRPr="00393765" w:rsidRDefault="0071293C" w:rsidP="00393765">
      <w:pPr>
        <w:spacing w:after="120"/>
        <w:jc w:val="both"/>
      </w:pPr>
      <w:r w:rsidRPr="006C5CED">
        <w:t xml:space="preserve">       Test the feasibility of the model (goodness-of-fit) shows how well the model is determined to reproduce the observed covariance matrix between items indicator. Model feasibility tests can use absolute fit indices, incremental fit indices, and parsimony indices </w:t>
      </w:r>
      <w:r w:rsidRPr="006C5CED">
        <w:fldChar w:fldCharType="begin" w:fldLock="1"/>
      </w:r>
      <w:r w:rsidR="00EF6857">
        <w:instrText>ADDIN CSL_CITATION {"citationItems":[{"id":"ITEM-1","itemData":{"author":[{"dropping-particle":"","family":"Hair","given":"Joseph F","non-dropping-particle":"","parse-names":false,"suffix":""},{"dropping-particle":"","family":"Black","given":"William C","non-dropping-particle":"","parse-names":false,"suffix":""},{"dropping-particle":"","family":"Babin","given":"Barry J","non-dropping-particle":"","parse-names":false,"suffix":""},{"dropping-particle":"","family":"Anderson","given":"Rolph E","non-dropping-particle":"","parse-names":false,"suffix":""}],"edition":"seventh ed","editor":[{"dropping-particle":"","family":"Yagan","given":"Sally","non-dropping-particle":"","parse-names":false,"suffix":""}],"id":"ITEM-1","issued":{"date-parts":[["2010"]]},"number-of-pages":"800","publisher":"Pearson","publisher-place":"New York","title":"Multivariate data analysis","type":"book"},"uris":["http://www.mendeley.com/documents/?uuid=b1ca8f4d-6cf9-4a0b-804d-5ad44e542d40"]}],"mendeley":{"formattedCitation":"[24]","plainTextFormattedCitation":"[24]","previouslyFormattedCitation":"[24]"},"properties":{"noteIndex":0},"schema":"https://github.com/citation-style-language/schema/raw/master/csl-citation.json"}</w:instrText>
      </w:r>
      <w:r w:rsidRPr="006C5CED">
        <w:fldChar w:fldCharType="separate"/>
      </w:r>
      <w:r w:rsidR="00EF6857" w:rsidRPr="00EF6857">
        <w:rPr>
          <w:noProof/>
        </w:rPr>
        <w:t>[24]</w:t>
      </w:r>
      <w:r w:rsidRPr="006C5CED">
        <w:fldChar w:fldCharType="end"/>
      </w:r>
      <w:r w:rsidRPr="006C5CED">
        <w:t xml:space="preserve">. </w:t>
      </w:r>
    </w:p>
    <w:p w:rsidR="00850D2A" w:rsidRPr="0071293C" w:rsidRDefault="00FA5DAB" w:rsidP="0071293C">
      <w:pPr>
        <w:spacing w:after="120"/>
        <w:jc w:val="center"/>
        <w:rPr>
          <w:sz w:val="18"/>
          <w:szCs w:val="18"/>
        </w:rPr>
      </w:pPr>
      <w:r>
        <w:rPr>
          <w:b/>
          <w:sz w:val="18"/>
          <w:szCs w:val="18"/>
        </w:rPr>
        <w:t>Tabel 1.</w:t>
      </w:r>
      <w:r w:rsidR="0071293C">
        <w:rPr>
          <w:sz w:val="18"/>
          <w:szCs w:val="18"/>
        </w:rPr>
        <w:t xml:space="preserve">  </w:t>
      </w:r>
      <w:r w:rsidR="0071293C" w:rsidRPr="005D0175">
        <w:rPr>
          <w:sz w:val="18"/>
          <w:szCs w:val="18"/>
        </w:rPr>
        <w:t xml:space="preserve"> Model Conformity Test Results</w:t>
      </w:r>
    </w:p>
    <w:tbl>
      <w:tblPr>
        <w:tblStyle w:val="a"/>
        <w:tblW w:w="7796" w:type="dxa"/>
        <w:jc w:val="center"/>
        <w:tblLayout w:type="fixed"/>
        <w:tblLook w:val="0000" w:firstRow="0" w:lastRow="0" w:firstColumn="0" w:lastColumn="0" w:noHBand="0" w:noVBand="0"/>
      </w:tblPr>
      <w:tblGrid>
        <w:gridCol w:w="1664"/>
        <w:gridCol w:w="2444"/>
        <w:gridCol w:w="2444"/>
        <w:gridCol w:w="1244"/>
      </w:tblGrid>
      <w:tr w:rsidR="0071293C" w:rsidTr="009346D5">
        <w:trPr>
          <w:jc w:val="center"/>
        </w:trPr>
        <w:tc>
          <w:tcPr>
            <w:tcW w:w="1664" w:type="dxa"/>
            <w:tcBorders>
              <w:top w:val="single" w:sz="12" w:space="0" w:color="000000"/>
              <w:bottom w:val="single" w:sz="6" w:space="0" w:color="000000"/>
            </w:tcBorders>
          </w:tcPr>
          <w:p w:rsidR="0071293C" w:rsidRPr="005D0175" w:rsidRDefault="0071293C" w:rsidP="0071293C">
            <w:pPr>
              <w:jc w:val="center"/>
              <w:rPr>
                <w:sz w:val="18"/>
                <w:szCs w:val="18"/>
              </w:rPr>
            </w:pPr>
            <w:r w:rsidRPr="005D0175">
              <w:rPr>
                <w:sz w:val="18"/>
                <w:szCs w:val="18"/>
              </w:rPr>
              <w:t>Criteria Index Size</w:t>
            </w:r>
          </w:p>
        </w:tc>
        <w:tc>
          <w:tcPr>
            <w:tcW w:w="2444" w:type="dxa"/>
            <w:tcBorders>
              <w:top w:val="single" w:sz="12" w:space="0" w:color="000000"/>
              <w:bottom w:val="single" w:sz="6" w:space="0" w:color="000000"/>
            </w:tcBorders>
          </w:tcPr>
          <w:p w:rsidR="0071293C" w:rsidRPr="005D0175" w:rsidRDefault="0071293C" w:rsidP="0071293C">
            <w:pPr>
              <w:jc w:val="center"/>
              <w:rPr>
                <w:sz w:val="18"/>
                <w:szCs w:val="18"/>
              </w:rPr>
            </w:pPr>
            <w:r w:rsidRPr="005D0175">
              <w:rPr>
                <w:sz w:val="18"/>
                <w:szCs w:val="18"/>
              </w:rPr>
              <w:t>Reference Value</w:t>
            </w:r>
          </w:p>
        </w:tc>
        <w:tc>
          <w:tcPr>
            <w:tcW w:w="2444" w:type="dxa"/>
            <w:tcBorders>
              <w:top w:val="single" w:sz="12" w:space="0" w:color="000000"/>
              <w:bottom w:val="single" w:sz="6" w:space="0" w:color="000000"/>
            </w:tcBorders>
          </w:tcPr>
          <w:p w:rsidR="0071293C" w:rsidRPr="005D0175" w:rsidRDefault="0071293C" w:rsidP="0071293C">
            <w:pPr>
              <w:jc w:val="center"/>
              <w:rPr>
                <w:sz w:val="18"/>
                <w:szCs w:val="18"/>
              </w:rPr>
            </w:pPr>
            <w:r w:rsidRPr="005D0175">
              <w:rPr>
                <w:sz w:val="18"/>
                <w:szCs w:val="18"/>
              </w:rPr>
              <w:t>Results</w:t>
            </w:r>
          </w:p>
        </w:tc>
        <w:tc>
          <w:tcPr>
            <w:tcW w:w="1244" w:type="dxa"/>
            <w:tcBorders>
              <w:top w:val="single" w:sz="12" w:space="0" w:color="000000"/>
              <w:bottom w:val="single" w:sz="6" w:space="0" w:color="000000"/>
            </w:tcBorders>
          </w:tcPr>
          <w:p w:rsidR="0071293C" w:rsidRPr="005D0175" w:rsidRDefault="0071293C" w:rsidP="0071293C">
            <w:pPr>
              <w:jc w:val="center"/>
              <w:rPr>
                <w:sz w:val="18"/>
                <w:szCs w:val="18"/>
              </w:rPr>
            </w:pPr>
            <w:r w:rsidRPr="005D0175">
              <w:rPr>
                <w:sz w:val="18"/>
                <w:szCs w:val="18"/>
              </w:rPr>
              <w:t>Criteria</w:t>
            </w:r>
          </w:p>
        </w:tc>
      </w:tr>
      <w:tr w:rsidR="0071293C" w:rsidTr="009346D5">
        <w:trPr>
          <w:jc w:val="center"/>
        </w:trPr>
        <w:tc>
          <w:tcPr>
            <w:tcW w:w="1664" w:type="dxa"/>
          </w:tcPr>
          <w:p w:rsidR="0071293C" w:rsidRPr="005D0175" w:rsidRDefault="0071293C" w:rsidP="0071293C">
            <w:pPr>
              <w:jc w:val="center"/>
              <w:rPr>
                <w:sz w:val="18"/>
                <w:szCs w:val="18"/>
              </w:rPr>
            </w:pPr>
            <w:r w:rsidRPr="005D0175">
              <w:rPr>
                <w:sz w:val="18"/>
                <w:szCs w:val="18"/>
              </w:rPr>
              <w:t>CMIN</w:t>
            </w:r>
          </w:p>
        </w:tc>
        <w:tc>
          <w:tcPr>
            <w:tcW w:w="2444" w:type="dxa"/>
          </w:tcPr>
          <w:p w:rsidR="0071293C" w:rsidRPr="005D0175" w:rsidRDefault="0071293C" w:rsidP="0071293C">
            <w:pPr>
              <w:jc w:val="center"/>
              <w:rPr>
                <w:sz w:val="18"/>
                <w:szCs w:val="18"/>
              </w:rPr>
            </w:pPr>
            <w:r w:rsidRPr="005D0175">
              <w:rPr>
                <w:rFonts w:eastAsia="Gungsuh"/>
                <w:sz w:val="18"/>
                <w:szCs w:val="18"/>
              </w:rPr>
              <w:t>≤ 3</w:t>
            </w:r>
          </w:p>
        </w:tc>
        <w:tc>
          <w:tcPr>
            <w:tcW w:w="2444" w:type="dxa"/>
          </w:tcPr>
          <w:p w:rsidR="0071293C" w:rsidRPr="005D0175" w:rsidRDefault="0071293C" w:rsidP="0071293C">
            <w:pPr>
              <w:jc w:val="center"/>
              <w:rPr>
                <w:sz w:val="18"/>
                <w:szCs w:val="18"/>
              </w:rPr>
            </w:pPr>
            <w:r w:rsidRPr="005D0175">
              <w:rPr>
                <w:sz w:val="18"/>
                <w:szCs w:val="18"/>
              </w:rPr>
              <w:t>2.753</w:t>
            </w:r>
          </w:p>
        </w:tc>
        <w:tc>
          <w:tcPr>
            <w:tcW w:w="1244" w:type="dxa"/>
          </w:tcPr>
          <w:p w:rsidR="0071293C" w:rsidRPr="005D0175" w:rsidRDefault="0071293C" w:rsidP="0071293C">
            <w:pPr>
              <w:jc w:val="center"/>
              <w:rPr>
                <w:sz w:val="18"/>
                <w:szCs w:val="18"/>
              </w:rPr>
            </w:pPr>
            <w:r w:rsidRPr="005D0175">
              <w:rPr>
                <w:sz w:val="18"/>
                <w:szCs w:val="18"/>
              </w:rPr>
              <w:t>Good</w:t>
            </w:r>
          </w:p>
        </w:tc>
      </w:tr>
      <w:tr w:rsidR="0071293C" w:rsidTr="009346D5">
        <w:trPr>
          <w:jc w:val="center"/>
        </w:trPr>
        <w:tc>
          <w:tcPr>
            <w:tcW w:w="1664" w:type="dxa"/>
          </w:tcPr>
          <w:p w:rsidR="0071293C" w:rsidRPr="005D0175" w:rsidRDefault="0071293C" w:rsidP="0071293C">
            <w:pPr>
              <w:jc w:val="center"/>
              <w:rPr>
                <w:sz w:val="18"/>
                <w:szCs w:val="18"/>
              </w:rPr>
            </w:pPr>
            <w:r w:rsidRPr="005D0175">
              <w:rPr>
                <w:sz w:val="18"/>
                <w:szCs w:val="18"/>
              </w:rPr>
              <w:t>GFI</w:t>
            </w:r>
          </w:p>
        </w:tc>
        <w:tc>
          <w:tcPr>
            <w:tcW w:w="2444" w:type="dxa"/>
          </w:tcPr>
          <w:p w:rsidR="0071293C" w:rsidRPr="005D0175" w:rsidRDefault="0071293C" w:rsidP="0071293C">
            <w:pPr>
              <w:pBdr>
                <w:top w:val="nil"/>
                <w:left w:val="nil"/>
                <w:bottom w:val="nil"/>
                <w:right w:val="nil"/>
                <w:between w:val="nil"/>
              </w:pBdr>
              <w:tabs>
                <w:tab w:val="left" w:pos="372"/>
                <w:tab w:val="left" w:pos="514"/>
              </w:tabs>
              <w:ind w:left="88"/>
              <w:jc w:val="center"/>
              <w:rPr>
                <w:color w:val="000000"/>
                <w:sz w:val="18"/>
                <w:szCs w:val="18"/>
              </w:rPr>
            </w:pPr>
            <w:r w:rsidRPr="005D0175">
              <w:rPr>
                <w:rFonts w:eastAsia="Gungsuh"/>
                <w:color w:val="000000"/>
                <w:sz w:val="18"/>
                <w:szCs w:val="18"/>
              </w:rPr>
              <w:t>≥ 0.9</w:t>
            </w:r>
          </w:p>
        </w:tc>
        <w:tc>
          <w:tcPr>
            <w:tcW w:w="2444" w:type="dxa"/>
          </w:tcPr>
          <w:p w:rsidR="0071293C" w:rsidRPr="005D0175" w:rsidRDefault="0071293C" w:rsidP="0071293C">
            <w:pPr>
              <w:jc w:val="center"/>
              <w:rPr>
                <w:sz w:val="18"/>
                <w:szCs w:val="18"/>
              </w:rPr>
            </w:pPr>
            <w:r w:rsidRPr="005D0175">
              <w:rPr>
                <w:sz w:val="18"/>
                <w:szCs w:val="18"/>
              </w:rPr>
              <w:t>0.73</w:t>
            </w:r>
          </w:p>
        </w:tc>
        <w:tc>
          <w:tcPr>
            <w:tcW w:w="1244" w:type="dxa"/>
          </w:tcPr>
          <w:p w:rsidR="0071293C" w:rsidRPr="005D0175" w:rsidRDefault="0071293C" w:rsidP="0071293C">
            <w:pPr>
              <w:jc w:val="center"/>
              <w:rPr>
                <w:sz w:val="18"/>
                <w:szCs w:val="18"/>
              </w:rPr>
            </w:pPr>
            <w:r w:rsidRPr="005D0175">
              <w:rPr>
                <w:sz w:val="18"/>
                <w:szCs w:val="18"/>
              </w:rPr>
              <w:t>Marginal</w:t>
            </w:r>
          </w:p>
        </w:tc>
      </w:tr>
      <w:tr w:rsidR="0071293C" w:rsidTr="009346D5">
        <w:trPr>
          <w:jc w:val="center"/>
        </w:trPr>
        <w:tc>
          <w:tcPr>
            <w:tcW w:w="1664" w:type="dxa"/>
          </w:tcPr>
          <w:p w:rsidR="0071293C" w:rsidRPr="005D0175" w:rsidRDefault="0071293C" w:rsidP="0071293C">
            <w:pPr>
              <w:jc w:val="center"/>
              <w:rPr>
                <w:sz w:val="18"/>
                <w:szCs w:val="18"/>
              </w:rPr>
            </w:pPr>
            <w:r w:rsidRPr="005D0175">
              <w:rPr>
                <w:sz w:val="18"/>
                <w:szCs w:val="18"/>
              </w:rPr>
              <w:t>RMSEA</w:t>
            </w:r>
          </w:p>
        </w:tc>
        <w:tc>
          <w:tcPr>
            <w:tcW w:w="2444" w:type="dxa"/>
          </w:tcPr>
          <w:p w:rsidR="0071293C" w:rsidRPr="005D0175" w:rsidRDefault="0071293C" w:rsidP="0071293C">
            <w:pPr>
              <w:jc w:val="center"/>
              <w:rPr>
                <w:sz w:val="18"/>
                <w:szCs w:val="18"/>
              </w:rPr>
            </w:pPr>
            <w:r w:rsidRPr="005D0175">
              <w:rPr>
                <w:sz w:val="18"/>
                <w:szCs w:val="18"/>
              </w:rPr>
              <w:t>&gt; 0.03-0.08</w:t>
            </w:r>
          </w:p>
        </w:tc>
        <w:tc>
          <w:tcPr>
            <w:tcW w:w="2444" w:type="dxa"/>
          </w:tcPr>
          <w:p w:rsidR="0071293C" w:rsidRPr="005D0175" w:rsidRDefault="0071293C" w:rsidP="0071293C">
            <w:pPr>
              <w:jc w:val="center"/>
              <w:rPr>
                <w:sz w:val="18"/>
                <w:szCs w:val="18"/>
              </w:rPr>
            </w:pPr>
            <w:r w:rsidRPr="005D0175">
              <w:rPr>
                <w:sz w:val="18"/>
                <w:szCs w:val="18"/>
              </w:rPr>
              <w:t>0.08</w:t>
            </w:r>
          </w:p>
        </w:tc>
        <w:tc>
          <w:tcPr>
            <w:tcW w:w="1244" w:type="dxa"/>
          </w:tcPr>
          <w:p w:rsidR="0071293C" w:rsidRPr="005D0175" w:rsidRDefault="0071293C" w:rsidP="0071293C">
            <w:pPr>
              <w:jc w:val="center"/>
              <w:rPr>
                <w:sz w:val="18"/>
                <w:szCs w:val="18"/>
              </w:rPr>
            </w:pPr>
            <w:r w:rsidRPr="005D0175">
              <w:rPr>
                <w:sz w:val="18"/>
                <w:szCs w:val="18"/>
              </w:rPr>
              <w:t>Good</w:t>
            </w:r>
          </w:p>
        </w:tc>
      </w:tr>
      <w:tr w:rsidR="0071293C" w:rsidTr="009346D5">
        <w:trPr>
          <w:jc w:val="center"/>
        </w:trPr>
        <w:tc>
          <w:tcPr>
            <w:tcW w:w="1664" w:type="dxa"/>
          </w:tcPr>
          <w:p w:rsidR="0071293C" w:rsidRPr="005D0175" w:rsidRDefault="0071293C" w:rsidP="0071293C">
            <w:pPr>
              <w:jc w:val="center"/>
              <w:rPr>
                <w:sz w:val="18"/>
                <w:szCs w:val="18"/>
              </w:rPr>
            </w:pPr>
            <w:r w:rsidRPr="005D0175">
              <w:rPr>
                <w:sz w:val="18"/>
                <w:szCs w:val="18"/>
              </w:rPr>
              <w:t>TLI</w:t>
            </w:r>
          </w:p>
        </w:tc>
        <w:tc>
          <w:tcPr>
            <w:tcW w:w="2444" w:type="dxa"/>
          </w:tcPr>
          <w:p w:rsidR="0071293C" w:rsidRPr="005D0175" w:rsidRDefault="0071293C" w:rsidP="0071293C">
            <w:pPr>
              <w:jc w:val="center"/>
              <w:rPr>
                <w:sz w:val="18"/>
                <w:szCs w:val="18"/>
              </w:rPr>
            </w:pPr>
            <w:r w:rsidRPr="005D0175">
              <w:rPr>
                <w:rFonts w:eastAsia="Gungsuh"/>
                <w:color w:val="000000"/>
                <w:sz w:val="18"/>
                <w:szCs w:val="18"/>
              </w:rPr>
              <w:t>≥ 0.90</w:t>
            </w:r>
          </w:p>
        </w:tc>
        <w:tc>
          <w:tcPr>
            <w:tcW w:w="2444" w:type="dxa"/>
          </w:tcPr>
          <w:p w:rsidR="0071293C" w:rsidRPr="005D0175" w:rsidRDefault="0071293C" w:rsidP="0071293C">
            <w:pPr>
              <w:jc w:val="center"/>
              <w:rPr>
                <w:sz w:val="18"/>
                <w:szCs w:val="18"/>
              </w:rPr>
            </w:pPr>
            <w:r w:rsidRPr="005D0175">
              <w:rPr>
                <w:sz w:val="18"/>
                <w:szCs w:val="18"/>
              </w:rPr>
              <w:t>0.713</w:t>
            </w:r>
          </w:p>
        </w:tc>
        <w:tc>
          <w:tcPr>
            <w:tcW w:w="1244" w:type="dxa"/>
          </w:tcPr>
          <w:p w:rsidR="0071293C" w:rsidRPr="005D0175" w:rsidRDefault="0071293C" w:rsidP="0071293C">
            <w:pPr>
              <w:jc w:val="center"/>
              <w:rPr>
                <w:sz w:val="18"/>
                <w:szCs w:val="18"/>
              </w:rPr>
            </w:pPr>
            <w:r w:rsidRPr="005D0175">
              <w:rPr>
                <w:sz w:val="18"/>
                <w:szCs w:val="18"/>
              </w:rPr>
              <w:t>Marginal</w:t>
            </w:r>
          </w:p>
        </w:tc>
      </w:tr>
      <w:tr w:rsidR="0071293C" w:rsidTr="009346D5">
        <w:trPr>
          <w:jc w:val="center"/>
        </w:trPr>
        <w:tc>
          <w:tcPr>
            <w:tcW w:w="1664" w:type="dxa"/>
            <w:tcBorders>
              <w:bottom w:val="single" w:sz="12" w:space="0" w:color="000000"/>
            </w:tcBorders>
          </w:tcPr>
          <w:p w:rsidR="0071293C" w:rsidRPr="005D0175" w:rsidRDefault="0071293C" w:rsidP="0071293C">
            <w:pPr>
              <w:jc w:val="center"/>
              <w:rPr>
                <w:sz w:val="18"/>
                <w:szCs w:val="18"/>
              </w:rPr>
            </w:pPr>
            <w:r w:rsidRPr="005D0175">
              <w:rPr>
                <w:sz w:val="18"/>
                <w:szCs w:val="18"/>
              </w:rPr>
              <w:t>CFI</w:t>
            </w:r>
          </w:p>
        </w:tc>
        <w:tc>
          <w:tcPr>
            <w:tcW w:w="2444" w:type="dxa"/>
            <w:tcBorders>
              <w:bottom w:val="single" w:sz="12" w:space="0" w:color="000000"/>
            </w:tcBorders>
          </w:tcPr>
          <w:p w:rsidR="0071293C" w:rsidRPr="005D0175" w:rsidRDefault="0071293C" w:rsidP="0071293C">
            <w:pPr>
              <w:jc w:val="center"/>
              <w:rPr>
                <w:sz w:val="18"/>
                <w:szCs w:val="18"/>
              </w:rPr>
            </w:pPr>
            <w:r w:rsidRPr="005D0175">
              <w:rPr>
                <w:rFonts w:eastAsia="Gungsuh"/>
                <w:color w:val="000000"/>
                <w:sz w:val="18"/>
                <w:szCs w:val="18"/>
              </w:rPr>
              <w:t>≥ 0.90</w:t>
            </w:r>
          </w:p>
        </w:tc>
        <w:tc>
          <w:tcPr>
            <w:tcW w:w="2444" w:type="dxa"/>
            <w:tcBorders>
              <w:bottom w:val="single" w:sz="12" w:space="0" w:color="000000"/>
            </w:tcBorders>
          </w:tcPr>
          <w:p w:rsidR="0071293C" w:rsidRPr="005D0175" w:rsidRDefault="0071293C" w:rsidP="0071293C">
            <w:pPr>
              <w:jc w:val="center"/>
              <w:rPr>
                <w:sz w:val="18"/>
                <w:szCs w:val="18"/>
              </w:rPr>
            </w:pPr>
            <w:r w:rsidRPr="005D0175">
              <w:rPr>
                <w:sz w:val="18"/>
                <w:szCs w:val="18"/>
              </w:rPr>
              <w:t>0, 782</w:t>
            </w:r>
          </w:p>
        </w:tc>
        <w:tc>
          <w:tcPr>
            <w:tcW w:w="1244" w:type="dxa"/>
            <w:tcBorders>
              <w:bottom w:val="single" w:sz="12" w:space="0" w:color="000000"/>
            </w:tcBorders>
          </w:tcPr>
          <w:p w:rsidR="0071293C" w:rsidRPr="005D0175" w:rsidRDefault="0071293C" w:rsidP="0071293C">
            <w:pPr>
              <w:jc w:val="center"/>
              <w:rPr>
                <w:sz w:val="18"/>
                <w:szCs w:val="18"/>
              </w:rPr>
            </w:pPr>
            <w:r w:rsidRPr="005D0175">
              <w:rPr>
                <w:sz w:val="18"/>
                <w:szCs w:val="18"/>
              </w:rPr>
              <w:t>Marginal</w:t>
            </w:r>
          </w:p>
        </w:tc>
      </w:tr>
    </w:tbl>
    <w:p w:rsidR="0071293C" w:rsidRDefault="0071293C" w:rsidP="0071293C">
      <w:pPr>
        <w:jc w:val="both"/>
      </w:pPr>
    </w:p>
    <w:p w:rsidR="0071293C" w:rsidRPr="006C5CED" w:rsidRDefault="0071293C" w:rsidP="0071293C">
      <w:pPr>
        <w:ind w:firstLine="426"/>
        <w:jc w:val="both"/>
      </w:pPr>
      <w:r w:rsidRPr="006C5CED">
        <w:t>Based on the results in table 1, it can be seen that several feasibility values ​​(GFI, TLI, CFI, AGFI) are below the set reference value, but are still within the required range, which is between the values 0 and 1. Thus it can be stated that the overall value of the feasibility of the model in this study is good because it meets the predetermined criteria.</w:t>
      </w:r>
    </w:p>
    <w:p w:rsidR="0071293C" w:rsidRDefault="0071293C" w:rsidP="0071293C">
      <w:pPr>
        <w:jc w:val="both"/>
      </w:pPr>
    </w:p>
    <w:p w:rsidR="0071293C" w:rsidRPr="00EF6857" w:rsidRDefault="0071293C" w:rsidP="0071293C">
      <w:pPr>
        <w:jc w:val="both"/>
        <w:rPr>
          <w:b/>
        </w:rPr>
      </w:pPr>
      <w:r w:rsidRPr="006C5CED">
        <w:rPr>
          <w:b/>
        </w:rPr>
        <w:t>4.2 Mediation Test</w:t>
      </w:r>
    </w:p>
    <w:p w:rsidR="00814E3D" w:rsidRDefault="0071293C" w:rsidP="009346D5">
      <w:pPr>
        <w:ind w:firstLine="426"/>
        <w:jc w:val="both"/>
      </w:pPr>
      <w:r w:rsidRPr="006C5CED">
        <w:t xml:space="preserve">The mediation effect is created when a third variable or construct affects two other related constructs. The mediator explains the relationship between the two original constructs </w:t>
      </w:r>
      <w:r w:rsidRPr="006C5CED">
        <w:fldChar w:fldCharType="begin" w:fldLock="1"/>
      </w:r>
      <w:r w:rsidR="00EF6857">
        <w:instrText>ADDIN CSL_CITATION {"citationItems":[{"id":"ITEM-1","itemData":{"author":[{"dropping-particle":"","family":"Hair","given":"Joseph F","non-dropping-particle":"","parse-names":false,"suffix":""},{"dropping-particle":"","family":"Black","given":"William C","non-dropping-particle":"","parse-names":false,"suffix":""},{"dropping-particle":"","family":"Babin","given":"Barry J","non-dropping-particle":"","parse-names":false,"suffix":""},{"dropping-particle":"","family":"Anderson","given":"Rolph E","non-dropping-particle":"","parse-names":false,"suffix":""}],"edition":"seventh ed","editor":[{"dropping-particle":"","family":"Yagan","given":"Sally","non-dropping-particle":"","parse-names":false,"suffix":""}],"id":"ITEM-1","issued":{"date-parts":[["2010"]]},"number-of-pages":"800","publisher":"Pearson","publisher-place":"New York","title":"Multivariate data analysis","type":"book"},"uris":["http://www.mendeley.com/documents/?uuid=b1ca8f4d-6cf9-4a0b-804d-5ad44e542d40"]}],"mendeley":{"formattedCitation":"[24]","plainTextFormattedCitation":"[24]","previouslyFormattedCitation":"[24]"},"properties":{"noteIndex":0},"schema":"https://github.com/citation-style-language/schema/raw/master/csl-citation.json"}</w:instrText>
      </w:r>
      <w:r w:rsidRPr="006C5CED">
        <w:fldChar w:fldCharType="separate"/>
      </w:r>
      <w:r w:rsidR="00EF6857" w:rsidRPr="00EF6857">
        <w:rPr>
          <w:noProof/>
        </w:rPr>
        <w:t>[24]</w:t>
      </w:r>
      <w:r w:rsidRPr="006C5CED">
        <w:fldChar w:fldCharType="end"/>
      </w:r>
      <w:r w:rsidRPr="006C5CED">
        <w:t>.</w:t>
      </w:r>
      <w:r w:rsidR="00814E3D">
        <w:rPr>
          <w:lang w:val="id-ID"/>
        </w:rPr>
        <w:t xml:space="preserve"> </w:t>
      </w:r>
    </w:p>
    <w:p w:rsidR="009346D5" w:rsidRDefault="009346D5" w:rsidP="009346D5">
      <w:pPr>
        <w:ind w:firstLine="426"/>
        <w:jc w:val="both"/>
      </w:pPr>
    </w:p>
    <w:p w:rsidR="00814E3D" w:rsidRDefault="0071293C" w:rsidP="006F24DF">
      <w:pPr>
        <w:spacing w:after="120"/>
        <w:jc w:val="center"/>
        <w:rPr>
          <w:sz w:val="18"/>
          <w:szCs w:val="18"/>
        </w:rPr>
      </w:pPr>
      <w:r w:rsidRPr="005D0175">
        <w:rPr>
          <w:sz w:val="18"/>
          <w:szCs w:val="18"/>
        </w:rPr>
        <w:t>Table 2. Results of Mediation</w:t>
      </w:r>
    </w:p>
    <w:tbl>
      <w:tblPr>
        <w:tblStyle w:val="a"/>
        <w:tblpPr w:leftFromText="180" w:rightFromText="180" w:vertAnchor="text" w:horzAnchor="margin" w:tblpX="-426" w:tblpY="57"/>
        <w:tblW w:w="8222" w:type="dxa"/>
        <w:tblLayout w:type="fixed"/>
        <w:tblLook w:val="0000" w:firstRow="0" w:lastRow="0" w:firstColumn="0" w:lastColumn="0" w:noHBand="0" w:noVBand="0"/>
      </w:tblPr>
      <w:tblGrid>
        <w:gridCol w:w="2001"/>
        <w:gridCol w:w="936"/>
        <w:gridCol w:w="630"/>
        <w:gridCol w:w="800"/>
        <w:gridCol w:w="134"/>
        <w:gridCol w:w="800"/>
        <w:gridCol w:w="935"/>
        <w:gridCol w:w="1041"/>
        <w:gridCol w:w="945"/>
      </w:tblGrid>
      <w:tr w:rsidR="00814E3D" w:rsidTr="009346D5">
        <w:trPr>
          <w:trHeight w:val="362"/>
        </w:trPr>
        <w:tc>
          <w:tcPr>
            <w:tcW w:w="2001" w:type="dxa"/>
            <w:tcBorders>
              <w:top w:val="single" w:sz="12" w:space="0" w:color="000000"/>
              <w:bottom w:val="single" w:sz="6" w:space="0" w:color="000000"/>
            </w:tcBorders>
          </w:tcPr>
          <w:p w:rsidR="00814E3D" w:rsidRPr="005D0175" w:rsidRDefault="00814E3D" w:rsidP="009346D5">
            <w:pPr>
              <w:pBdr>
                <w:top w:val="nil"/>
                <w:left w:val="nil"/>
                <w:bottom w:val="nil"/>
                <w:right w:val="nil"/>
                <w:between w:val="nil"/>
              </w:pBdr>
              <w:tabs>
                <w:tab w:val="left" w:pos="0"/>
              </w:tabs>
              <w:jc w:val="both"/>
              <w:rPr>
                <w:color w:val="000000"/>
                <w:sz w:val="18"/>
                <w:szCs w:val="18"/>
              </w:rPr>
            </w:pPr>
            <w:r w:rsidRPr="005D0175">
              <w:rPr>
                <w:color w:val="000000"/>
                <w:sz w:val="18"/>
                <w:szCs w:val="18"/>
              </w:rPr>
              <w:t>Variable</w:t>
            </w:r>
          </w:p>
        </w:tc>
        <w:tc>
          <w:tcPr>
            <w:tcW w:w="936" w:type="dxa"/>
            <w:tcBorders>
              <w:top w:val="single" w:sz="12" w:space="0" w:color="000000"/>
              <w:bottom w:val="single" w:sz="6" w:space="0" w:color="000000"/>
            </w:tcBorders>
          </w:tcPr>
          <w:p w:rsidR="00814E3D" w:rsidRPr="005D0175" w:rsidRDefault="00814E3D" w:rsidP="009346D5">
            <w:pPr>
              <w:pBdr>
                <w:top w:val="nil"/>
                <w:left w:val="nil"/>
                <w:bottom w:val="nil"/>
                <w:right w:val="nil"/>
                <w:between w:val="nil"/>
              </w:pBdr>
              <w:tabs>
                <w:tab w:val="left" w:pos="0"/>
              </w:tabs>
              <w:jc w:val="both"/>
              <w:rPr>
                <w:color w:val="000000"/>
                <w:sz w:val="18"/>
                <w:szCs w:val="18"/>
              </w:rPr>
            </w:pPr>
            <w:r w:rsidRPr="005D0175">
              <w:rPr>
                <w:color w:val="000000"/>
                <w:sz w:val="18"/>
                <w:szCs w:val="18"/>
              </w:rPr>
              <w:t>Beta estimates</w:t>
            </w:r>
          </w:p>
        </w:tc>
        <w:tc>
          <w:tcPr>
            <w:tcW w:w="630" w:type="dxa"/>
            <w:tcBorders>
              <w:top w:val="single" w:sz="12" w:space="0" w:color="000000"/>
              <w:bottom w:val="single" w:sz="6" w:space="0" w:color="000000"/>
            </w:tcBorders>
          </w:tcPr>
          <w:p w:rsidR="00814E3D" w:rsidRPr="005D0175" w:rsidRDefault="00814E3D" w:rsidP="009346D5">
            <w:pPr>
              <w:pBdr>
                <w:top w:val="nil"/>
                <w:left w:val="nil"/>
                <w:bottom w:val="nil"/>
                <w:right w:val="nil"/>
                <w:between w:val="nil"/>
              </w:pBdr>
              <w:tabs>
                <w:tab w:val="left" w:pos="0"/>
              </w:tabs>
              <w:jc w:val="both"/>
              <w:rPr>
                <w:color w:val="000000"/>
                <w:sz w:val="18"/>
                <w:szCs w:val="18"/>
              </w:rPr>
            </w:pPr>
            <w:r w:rsidRPr="005D0175">
              <w:rPr>
                <w:color w:val="000000"/>
                <w:sz w:val="18"/>
                <w:szCs w:val="18"/>
              </w:rPr>
              <w:t>SE</w:t>
            </w:r>
          </w:p>
        </w:tc>
        <w:tc>
          <w:tcPr>
            <w:tcW w:w="800" w:type="dxa"/>
            <w:tcBorders>
              <w:top w:val="single" w:sz="12" w:space="0" w:color="000000"/>
              <w:bottom w:val="single" w:sz="6" w:space="0" w:color="000000"/>
            </w:tcBorders>
          </w:tcPr>
          <w:p w:rsidR="00814E3D" w:rsidRPr="005D0175" w:rsidRDefault="00814E3D" w:rsidP="009346D5">
            <w:pPr>
              <w:pBdr>
                <w:top w:val="nil"/>
                <w:left w:val="nil"/>
                <w:bottom w:val="nil"/>
                <w:right w:val="nil"/>
                <w:between w:val="nil"/>
              </w:pBdr>
              <w:tabs>
                <w:tab w:val="left" w:pos="0"/>
              </w:tabs>
              <w:jc w:val="both"/>
              <w:rPr>
                <w:color w:val="000000"/>
                <w:sz w:val="18"/>
                <w:szCs w:val="18"/>
              </w:rPr>
            </w:pPr>
            <w:r w:rsidRPr="005D0175">
              <w:rPr>
                <w:color w:val="000000"/>
                <w:sz w:val="18"/>
                <w:szCs w:val="18"/>
              </w:rPr>
              <w:t>CR</w:t>
            </w:r>
          </w:p>
        </w:tc>
        <w:tc>
          <w:tcPr>
            <w:tcW w:w="934" w:type="dxa"/>
            <w:gridSpan w:val="2"/>
            <w:tcBorders>
              <w:top w:val="single" w:sz="12" w:space="0" w:color="000000"/>
              <w:bottom w:val="single" w:sz="6" w:space="0" w:color="000000"/>
            </w:tcBorders>
          </w:tcPr>
          <w:p w:rsidR="00814E3D" w:rsidRPr="005D0175" w:rsidRDefault="00814E3D" w:rsidP="009346D5">
            <w:pPr>
              <w:pBdr>
                <w:top w:val="nil"/>
                <w:left w:val="nil"/>
                <w:bottom w:val="nil"/>
                <w:right w:val="nil"/>
                <w:between w:val="nil"/>
              </w:pBdr>
              <w:tabs>
                <w:tab w:val="left" w:pos="0"/>
              </w:tabs>
              <w:jc w:val="both"/>
              <w:rPr>
                <w:color w:val="000000"/>
                <w:sz w:val="18"/>
                <w:szCs w:val="18"/>
              </w:rPr>
            </w:pPr>
            <w:r w:rsidRPr="005D0175">
              <w:rPr>
                <w:color w:val="000000"/>
                <w:sz w:val="18"/>
                <w:szCs w:val="18"/>
              </w:rPr>
              <w:t>P-value</w:t>
            </w:r>
          </w:p>
        </w:tc>
        <w:tc>
          <w:tcPr>
            <w:tcW w:w="935" w:type="dxa"/>
            <w:tcBorders>
              <w:top w:val="single" w:sz="12" w:space="0" w:color="000000"/>
              <w:bottom w:val="single" w:sz="6" w:space="0" w:color="000000"/>
            </w:tcBorders>
          </w:tcPr>
          <w:p w:rsidR="00814E3D" w:rsidRPr="005D0175" w:rsidRDefault="00814E3D" w:rsidP="009346D5">
            <w:pPr>
              <w:pBdr>
                <w:top w:val="nil"/>
                <w:left w:val="nil"/>
                <w:bottom w:val="nil"/>
                <w:right w:val="nil"/>
                <w:between w:val="nil"/>
              </w:pBdr>
              <w:tabs>
                <w:tab w:val="left" w:pos="0"/>
              </w:tabs>
              <w:jc w:val="both"/>
              <w:rPr>
                <w:color w:val="000000"/>
                <w:sz w:val="18"/>
                <w:szCs w:val="18"/>
              </w:rPr>
            </w:pPr>
            <w:r w:rsidRPr="005D0175">
              <w:rPr>
                <w:color w:val="000000"/>
                <w:sz w:val="18"/>
                <w:szCs w:val="18"/>
              </w:rPr>
              <w:t>Results</w:t>
            </w:r>
          </w:p>
        </w:tc>
        <w:tc>
          <w:tcPr>
            <w:tcW w:w="1986" w:type="dxa"/>
            <w:gridSpan w:val="2"/>
            <w:tcBorders>
              <w:top w:val="single" w:sz="12" w:space="0" w:color="000000"/>
              <w:bottom w:val="single" w:sz="6" w:space="0" w:color="000000"/>
            </w:tcBorders>
          </w:tcPr>
          <w:p w:rsidR="00814E3D" w:rsidRPr="005D0175" w:rsidRDefault="00814E3D" w:rsidP="009346D5">
            <w:pPr>
              <w:pBdr>
                <w:top w:val="nil"/>
                <w:left w:val="nil"/>
                <w:bottom w:val="nil"/>
                <w:right w:val="nil"/>
                <w:between w:val="nil"/>
              </w:pBdr>
              <w:tabs>
                <w:tab w:val="left" w:pos="0"/>
              </w:tabs>
              <w:jc w:val="both"/>
              <w:rPr>
                <w:color w:val="000000"/>
                <w:sz w:val="18"/>
                <w:szCs w:val="18"/>
              </w:rPr>
            </w:pPr>
            <w:r w:rsidRPr="005D0175">
              <w:rPr>
                <w:color w:val="000000"/>
                <w:sz w:val="18"/>
                <w:szCs w:val="18"/>
              </w:rPr>
              <w:t>Conclusion</w:t>
            </w:r>
          </w:p>
        </w:tc>
      </w:tr>
      <w:tr w:rsidR="00814E3D" w:rsidTr="009346D5">
        <w:trPr>
          <w:trHeight w:val="167"/>
        </w:trPr>
        <w:tc>
          <w:tcPr>
            <w:tcW w:w="2937" w:type="dxa"/>
            <w:gridSpan w:val="2"/>
          </w:tcPr>
          <w:p w:rsidR="00814E3D" w:rsidRPr="005D0175" w:rsidRDefault="00814E3D" w:rsidP="009346D5">
            <w:pPr>
              <w:pBdr>
                <w:top w:val="nil"/>
                <w:left w:val="nil"/>
                <w:bottom w:val="nil"/>
                <w:right w:val="nil"/>
                <w:between w:val="nil"/>
              </w:pBdr>
              <w:tabs>
                <w:tab w:val="left" w:pos="0"/>
              </w:tabs>
              <w:rPr>
                <w:color w:val="000000"/>
                <w:sz w:val="18"/>
                <w:szCs w:val="18"/>
              </w:rPr>
            </w:pPr>
            <w:r w:rsidRPr="005D0175">
              <w:rPr>
                <w:color w:val="000000"/>
                <w:sz w:val="18"/>
                <w:szCs w:val="18"/>
              </w:rPr>
              <w:t>Before mediation</w:t>
            </w:r>
          </w:p>
        </w:tc>
        <w:tc>
          <w:tcPr>
            <w:tcW w:w="630" w:type="dxa"/>
          </w:tcPr>
          <w:p w:rsidR="00814E3D" w:rsidRPr="005D0175" w:rsidRDefault="00814E3D" w:rsidP="009346D5">
            <w:pPr>
              <w:pBdr>
                <w:top w:val="nil"/>
                <w:left w:val="nil"/>
                <w:bottom w:val="nil"/>
                <w:right w:val="nil"/>
                <w:between w:val="nil"/>
              </w:pBdr>
              <w:tabs>
                <w:tab w:val="left" w:pos="0"/>
              </w:tabs>
              <w:ind w:left="356" w:hanging="356"/>
              <w:jc w:val="both"/>
              <w:rPr>
                <w:color w:val="000000"/>
                <w:sz w:val="18"/>
                <w:szCs w:val="18"/>
              </w:rPr>
            </w:pPr>
          </w:p>
        </w:tc>
        <w:tc>
          <w:tcPr>
            <w:tcW w:w="934" w:type="dxa"/>
            <w:gridSpan w:val="2"/>
          </w:tcPr>
          <w:p w:rsidR="00814E3D" w:rsidRPr="005D0175" w:rsidRDefault="00814E3D" w:rsidP="009346D5">
            <w:pPr>
              <w:pBdr>
                <w:top w:val="nil"/>
                <w:left w:val="nil"/>
                <w:bottom w:val="nil"/>
                <w:right w:val="nil"/>
                <w:between w:val="nil"/>
              </w:pBdr>
              <w:tabs>
                <w:tab w:val="left" w:pos="0"/>
              </w:tabs>
              <w:jc w:val="both"/>
              <w:rPr>
                <w:color w:val="000000"/>
                <w:sz w:val="18"/>
                <w:szCs w:val="18"/>
              </w:rPr>
            </w:pPr>
          </w:p>
        </w:tc>
        <w:tc>
          <w:tcPr>
            <w:tcW w:w="800" w:type="dxa"/>
          </w:tcPr>
          <w:p w:rsidR="00814E3D" w:rsidRPr="005D0175" w:rsidRDefault="00814E3D" w:rsidP="009346D5">
            <w:pPr>
              <w:pBdr>
                <w:top w:val="nil"/>
                <w:left w:val="nil"/>
                <w:bottom w:val="nil"/>
                <w:right w:val="nil"/>
                <w:between w:val="nil"/>
              </w:pBdr>
              <w:tabs>
                <w:tab w:val="left" w:pos="0"/>
              </w:tabs>
              <w:jc w:val="both"/>
              <w:rPr>
                <w:color w:val="000000"/>
                <w:sz w:val="18"/>
                <w:szCs w:val="18"/>
              </w:rPr>
            </w:pPr>
          </w:p>
        </w:tc>
        <w:tc>
          <w:tcPr>
            <w:tcW w:w="935" w:type="dxa"/>
          </w:tcPr>
          <w:p w:rsidR="00814E3D" w:rsidRPr="005D0175" w:rsidRDefault="00814E3D" w:rsidP="009346D5">
            <w:pPr>
              <w:pBdr>
                <w:top w:val="nil"/>
                <w:left w:val="nil"/>
                <w:bottom w:val="nil"/>
                <w:right w:val="nil"/>
                <w:between w:val="nil"/>
              </w:pBdr>
              <w:tabs>
                <w:tab w:val="left" w:pos="0"/>
              </w:tabs>
              <w:jc w:val="both"/>
              <w:rPr>
                <w:color w:val="000000"/>
                <w:sz w:val="18"/>
                <w:szCs w:val="18"/>
              </w:rPr>
            </w:pPr>
          </w:p>
        </w:tc>
        <w:tc>
          <w:tcPr>
            <w:tcW w:w="1041" w:type="dxa"/>
          </w:tcPr>
          <w:p w:rsidR="00814E3D" w:rsidRPr="005D0175" w:rsidRDefault="00814E3D" w:rsidP="009346D5">
            <w:pPr>
              <w:pBdr>
                <w:top w:val="nil"/>
                <w:left w:val="nil"/>
                <w:bottom w:val="nil"/>
                <w:right w:val="nil"/>
                <w:between w:val="nil"/>
              </w:pBdr>
              <w:tabs>
                <w:tab w:val="left" w:pos="0"/>
              </w:tabs>
              <w:jc w:val="both"/>
              <w:rPr>
                <w:color w:val="000000"/>
                <w:sz w:val="18"/>
                <w:szCs w:val="18"/>
              </w:rPr>
            </w:pPr>
          </w:p>
        </w:tc>
        <w:tc>
          <w:tcPr>
            <w:tcW w:w="945" w:type="dxa"/>
          </w:tcPr>
          <w:p w:rsidR="00814E3D" w:rsidRPr="005D0175" w:rsidRDefault="00814E3D" w:rsidP="009346D5">
            <w:pPr>
              <w:pBdr>
                <w:top w:val="nil"/>
                <w:left w:val="nil"/>
                <w:bottom w:val="nil"/>
                <w:right w:val="nil"/>
                <w:between w:val="nil"/>
              </w:pBdr>
              <w:tabs>
                <w:tab w:val="left" w:pos="0"/>
              </w:tabs>
              <w:jc w:val="both"/>
              <w:rPr>
                <w:color w:val="000000"/>
                <w:sz w:val="18"/>
                <w:szCs w:val="18"/>
              </w:rPr>
            </w:pPr>
          </w:p>
        </w:tc>
      </w:tr>
      <w:tr w:rsidR="00814E3D" w:rsidTr="009346D5">
        <w:trPr>
          <w:trHeight w:val="362"/>
        </w:trPr>
        <w:tc>
          <w:tcPr>
            <w:tcW w:w="2937" w:type="dxa"/>
            <w:gridSpan w:val="2"/>
            <w:vAlign w:val="center"/>
          </w:tcPr>
          <w:p w:rsidR="00814E3D" w:rsidRPr="005D0175" w:rsidRDefault="00814E3D" w:rsidP="009346D5">
            <w:pPr>
              <w:rPr>
                <w:sz w:val="18"/>
                <w:szCs w:val="18"/>
              </w:rPr>
            </w:pPr>
            <w:r w:rsidRPr="005D0175">
              <w:rPr>
                <w:sz w:val="18"/>
                <w:szCs w:val="18"/>
              </w:rPr>
              <w:t xml:space="preserve">Intention (C) &lt;--- </w:t>
            </w:r>
            <w:r w:rsidRPr="005D0175">
              <w:rPr>
                <w:i/>
                <w:sz w:val="18"/>
                <w:szCs w:val="18"/>
              </w:rPr>
              <w:t xml:space="preserve">Marketing Communication </w:t>
            </w:r>
            <w:r w:rsidRPr="005D0175">
              <w:rPr>
                <w:sz w:val="18"/>
                <w:szCs w:val="18"/>
              </w:rPr>
              <w:t>(A)</w:t>
            </w:r>
          </w:p>
        </w:tc>
        <w:tc>
          <w:tcPr>
            <w:tcW w:w="630" w:type="dxa"/>
            <w:vAlign w:val="center"/>
          </w:tcPr>
          <w:p w:rsidR="00814E3D" w:rsidRPr="005D0175" w:rsidRDefault="00814E3D" w:rsidP="009346D5">
            <w:pPr>
              <w:jc w:val="both"/>
              <w:rPr>
                <w:sz w:val="18"/>
                <w:szCs w:val="18"/>
              </w:rPr>
            </w:pPr>
            <w:r w:rsidRPr="005D0175">
              <w:rPr>
                <w:sz w:val="18"/>
                <w:szCs w:val="18"/>
              </w:rPr>
              <w:t>0.451</w:t>
            </w:r>
          </w:p>
        </w:tc>
        <w:tc>
          <w:tcPr>
            <w:tcW w:w="934" w:type="dxa"/>
            <w:gridSpan w:val="2"/>
            <w:vAlign w:val="center"/>
          </w:tcPr>
          <w:p w:rsidR="00814E3D" w:rsidRPr="005D0175" w:rsidRDefault="00814E3D" w:rsidP="009346D5">
            <w:pPr>
              <w:jc w:val="both"/>
              <w:rPr>
                <w:sz w:val="18"/>
                <w:szCs w:val="18"/>
              </w:rPr>
            </w:pPr>
            <w:r w:rsidRPr="005D0175">
              <w:rPr>
                <w:sz w:val="18"/>
                <w:szCs w:val="18"/>
              </w:rPr>
              <w:t>, 084</w:t>
            </w:r>
          </w:p>
        </w:tc>
        <w:tc>
          <w:tcPr>
            <w:tcW w:w="800" w:type="dxa"/>
            <w:vAlign w:val="center"/>
          </w:tcPr>
          <w:p w:rsidR="00814E3D" w:rsidRPr="005D0175" w:rsidRDefault="00814E3D" w:rsidP="009346D5">
            <w:pPr>
              <w:jc w:val="both"/>
              <w:rPr>
                <w:sz w:val="18"/>
                <w:szCs w:val="18"/>
              </w:rPr>
            </w:pPr>
            <w:r w:rsidRPr="005D0175">
              <w:rPr>
                <w:sz w:val="18"/>
                <w:szCs w:val="18"/>
              </w:rPr>
              <w:t>5,368</w:t>
            </w:r>
          </w:p>
        </w:tc>
        <w:tc>
          <w:tcPr>
            <w:tcW w:w="935" w:type="dxa"/>
            <w:vAlign w:val="center"/>
          </w:tcPr>
          <w:p w:rsidR="00814E3D" w:rsidRPr="005D0175" w:rsidRDefault="00814E3D" w:rsidP="009346D5">
            <w:pPr>
              <w:jc w:val="both"/>
              <w:rPr>
                <w:sz w:val="18"/>
                <w:szCs w:val="18"/>
              </w:rPr>
            </w:pPr>
            <w:r w:rsidRPr="005D0175">
              <w:rPr>
                <w:sz w:val="18"/>
                <w:szCs w:val="18"/>
              </w:rPr>
              <w:t>***</w:t>
            </w:r>
          </w:p>
        </w:tc>
        <w:tc>
          <w:tcPr>
            <w:tcW w:w="1041" w:type="dxa"/>
            <w:vAlign w:val="center"/>
          </w:tcPr>
          <w:p w:rsidR="00814E3D" w:rsidRPr="005D0175" w:rsidRDefault="00814E3D" w:rsidP="009346D5">
            <w:pPr>
              <w:pBdr>
                <w:top w:val="nil"/>
                <w:left w:val="nil"/>
                <w:bottom w:val="nil"/>
                <w:right w:val="nil"/>
                <w:between w:val="nil"/>
              </w:pBdr>
              <w:tabs>
                <w:tab w:val="left" w:pos="0"/>
              </w:tabs>
              <w:jc w:val="both"/>
              <w:rPr>
                <w:color w:val="000000"/>
                <w:sz w:val="18"/>
                <w:szCs w:val="18"/>
              </w:rPr>
            </w:pPr>
            <w:r w:rsidRPr="005D0175">
              <w:rPr>
                <w:color w:val="000000"/>
                <w:sz w:val="18"/>
                <w:szCs w:val="18"/>
              </w:rPr>
              <w:t>Significant</w:t>
            </w:r>
          </w:p>
        </w:tc>
        <w:tc>
          <w:tcPr>
            <w:tcW w:w="945" w:type="dxa"/>
          </w:tcPr>
          <w:p w:rsidR="00814E3D" w:rsidRPr="005D0175" w:rsidRDefault="00814E3D" w:rsidP="009346D5">
            <w:pPr>
              <w:pBdr>
                <w:top w:val="nil"/>
                <w:left w:val="nil"/>
                <w:bottom w:val="nil"/>
                <w:right w:val="nil"/>
                <w:between w:val="nil"/>
              </w:pBdr>
              <w:tabs>
                <w:tab w:val="left" w:pos="0"/>
              </w:tabs>
              <w:jc w:val="both"/>
              <w:rPr>
                <w:color w:val="000000"/>
                <w:sz w:val="18"/>
                <w:szCs w:val="18"/>
              </w:rPr>
            </w:pPr>
          </w:p>
        </w:tc>
      </w:tr>
      <w:tr w:rsidR="00814E3D" w:rsidTr="009346D5">
        <w:trPr>
          <w:trHeight w:val="180"/>
        </w:trPr>
        <w:tc>
          <w:tcPr>
            <w:tcW w:w="2937" w:type="dxa"/>
            <w:gridSpan w:val="2"/>
            <w:vAlign w:val="center"/>
          </w:tcPr>
          <w:p w:rsidR="00814E3D" w:rsidRPr="005D0175" w:rsidRDefault="00814E3D" w:rsidP="009346D5">
            <w:pPr>
              <w:rPr>
                <w:sz w:val="18"/>
                <w:szCs w:val="18"/>
              </w:rPr>
            </w:pPr>
            <w:r w:rsidRPr="005D0175">
              <w:rPr>
                <w:sz w:val="18"/>
                <w:szCs w:val="18"/>
              </w:rPr>
              <w:t>After mediation</w:t>
            </w:r>
          </w:p>
        </w:tc>
        <w:tc>
          <w:tcPr>
            <w:tcW w:w="630" w:type="dxa"/>
            <w:vAlign w:val="center"/>
          </w:tcPr>
          <w:p w:rsidR="00814E3D" w:rsidRPr="005D0175" w:rsidRDefault="00814E3D" w:rsidP="009346D5">
            <w:pPr>
              <w:jc w:val="both"/>
              <w:rPr>
                <w:sz w:val="18"/>
                <w:szCs w:val="18"/>
              </w:rPr>
            </w:pPr>
          </w:p>
        </w:tc>
        <w:tc>
          <w:tcPr>
            <w:tcW w:w="934" w:type="dxa"/>
            <w:gridSpan w:val="2"/>
            <w:vAlign w:val="center"/>
          </w:tcPr>
          <w:p w:rsidR="00814E3D" w:rsidRPr="005D0175" w:rsidRDefault="00814E3D" w:rsidP="009346D5">
            <w:pPr>
              <w:jc w:val="both"/>
              <w:rPr>
                <w:sz w:val="18"/>
                <w:szCs w:val="18"/>
              </w:rPr>
            </w:pPr>
          </w:p>
        </w:tc>
        <w:tc>
          <w:tcPr>
            <w:tcW w:w="800" w:type="dxa"/>
            <w:vAlign w:val="center"/>
          </w:tcPr>
          <w:p w:rsidR="00814E3D" w:rsidRPr="005D0175" w:rsidRDefault="00814E3D" w:rsidP="009346D5">
            <w:pPr>
              <w:jc w:val="both"/>
              <w:rPr>
                <w:sz w:val="18"/>
                <w:szCs w:val="18"/>
              </w:rPr>
            </w:pPr>
          </w:p>
        </w:tc>
        <w:tc>
          <w:tcPr>
            <w:tcW w:w="935" w:type="dxa"/>
            <w:vAlign w:val="center"/>
          </w:tcPr>
          <w:p w:rsidR="00814E3D" w:rsidRPr="005D0175" w:rsidRDefault="00814E3D" w:rsidP="009346D5">
            <w:pPr>
              <w:jc w:val="both"/>
              <w:rPr>
                <w:sz w:val="18"/>
                <w:szCs w:val="18"/>
              </w:rPr>
            </w:pPr>
          </w:p>
        </w:tc>
        <w:tc>
          <w:tcPr>
            <w:tcW w:w="1041" w:type="dxa"/>
            <w:vAlign w:val="center"/>
          </w:tcPr>
          <w:p w:rsidR="00814E3D" w:rsidRPr="005D0175" w:rsidRDefault="00814E3D" w:rsidP="009346D5">
            <w:pPr>
              <w:pBdr>
                <w:top w:val="nil"/>
                <w:left w:val="nil"/>
                <w:bottom w:val="nil"/>
                <w:right w:val="nil"/>
                <w:between w:val="nil"/>
              </w:pBdr>
              <w:tabs>
                <w:tab w:val="left" w:pos="0"/>
              </w:tabs>
              <w:jc w:val="both"/>
              <w:rPr>
                <w:color w:val="000000"/>
                <w:sz w:val="18"/>
                <w:szCs w:val="18"/>
              </w:rPr>
            </w:pPr>
          </w:p>
        </w:tc>
        <w:tc>
          <w:tcPr>
            <w:tcW w:w="945" w:type="dxa"/>
          </w:tcPr>
          <w:p w:rsidR="00814E3D" w:rsidRPr="005D0175" w:rsidRDefault="00814E3D" w:rsidP="009346D5">
            <w:pPr>
              <w:pBdr>
                <w:top w:val="nil"/>
                <w:left w:val="nil"/>
                <w:bottom w:val="nil"/>
                <w:right w:val="nil"/>
                <w:between w:val="nil"/>
              </w:pBdr>
              <w:tabs>
                <w:tab w:val="left" w:pos="0"/>
              </w:tabs>
              <w:jc w:val="both"/>
              <w:rPr>
                <w:color w:val="000000"/>
                <w:sz w:val="18"/>
                <w:szCs w:val="18"/>
              </w:rPr>
            </w:pPr>
          </w:p>
        </w:tc>
      </w:tr>
      <w:tr w:rsidR="00814E3D" w:rsidTr="009346D5">
        <w:trPr>
          <w:trHeight w:val="349"/>
        </w:trPr>
        <w:tc>
          <w:tcPr>
            <w:tcW w:w="2937" w:type="dxa"/>
            <w:gridSpan w:val="2"/>
            <w:vAlign w:val="center"/>
          </w:tcPr>
          <w:p w:rsidR="00814E3D" w:rsidRPr="005D0175" w:rsidRDefault="00814E3D" w:rsidP="009346D5">
            <w:pPr>
              <w:rPr>
                <w:sz w:val="18"/>
                <w:szCs w:val="18"/>
              </w:rPr>
            </w:pPr>
            <w:r w:rsidRPr="005D0175">
              <w:rPr>
                <w:sz w:val="18"/>
                <w:szCs w:val="18"/>
              </w:rPr>
              <w:t xml:space="preserve">Intention (C) &lt;--- </w:t>
            </w:r>
            <w:r w:rsidRPr="005D0175">
              <w:rPr>
                <w:i/>
                <w:sz w:val="18"/>
                <w:szCs w:val="18"/>
              </w:rPr>
              <w:t>Marketing Communicatio</w:t>
            </w:r>
            <w:r>
              <w:rPr>
                <w:i/>
                <w:sz w:val="18"/>
                <w:szCs w:val="18"/>
                <w:lang w:val="id-ID"/>
              </w:rPr>
              <w:t>n</w:t>
            </w:r>
            <w:r w:rsidRPr="005D0175">
              <w:rPr>
                <w:sz w:val="18"/>
                <w:szCs w:val="18"/>
              </w:rPr>
              <w:t xml:space="preserve"> (A)</w:t>
            </w:r>
          </w:p>
        </w:tc>
        <w:tc>
          <w:tcPr>
            <w:tcW w:w="630" w:type="dxa"/>
            <w:vAlign w:val="center"/>
          </w:tcPr>
          <w:p w:rsidR="00814E3D" w:rsidRPr="005D0175" w:rsidRDefault="00814E3D" w:rsidP="009346D5">
            <w:pPr>
              <w:jc w:val="both"/>
              <w:rPr>
                <w:sz w:val="18"/>
                <w:szCs w:val="18"/>
              </w:rPr>
            </w:pPr>
          </w:p>
        </w:tc>
        <w:tc>
          <w:tcPr>
            <w:tcW w:w="934" w:type="dxa"/>
            <w:gridSpan w:val="2"/>
            <w:vAlign w:val="center"/>
          </w:tcPr>
          <w:p w:rsidR="00814E3D" w:rsidRPr="005D0175" w:rsidRDefault="00814E3D" w:rsidP="009346D5">
            <w:pPr>
              <w:jc w:val="both"/>
              <w:rPr>
                <w:sz w:val="18"/>
                <w:szCs w:val="18"/>
              </w:rPr>
            </w:pPr>
            <w:r w:rsidRPr="005D0175">
              <w:rPr>
                <w:sz w:val="18"/>
                <w:szCs w:val="18"/>
              </w:rPr>
              <w:t>0.106,054,</w:t>
            </w:r>
          </w:p>
        </w:tc>
        <w:tc>
          <w:tcPr>
            <w:tcW w:w="800" w:type="dxa"/>
            <w:vAlign w:val="center"/>
          </w:tcPr>
          <w:p w:rsidR="00814E3D" w:rsidRPr="005D0175" w:rsidRDefault="00814E3D" w:rsidP="009346D5">
            <w:pPr>
              <w:jc w:val="both"/>
              <w:rPr>
                <w:sz w:val="18"/>
                <w:szCs w:val="18"/>
              </w:rPr>
            </w:pPr>
            <w:r w:rsidRPr="005D0175">
              <w:rPr>
                <w:sz w:val="18"/>
                <w:szCs w:val="18"/>
              </w:rPr>
              <w:t>1.963</w:t>
            </w:r>
          </w:p>
        </w:tc>
        <w:tc>
          <w:tcPr>
            <w:tcW w:w="935" w:type="dxa"/>
            <w:vAlign w:val="center"/>
          </w:tcPr>
          <w:p w:rsidR="00814E3D" w:rsidRPr="005D0175" w:rsidRDefault="00814E3D" w:rsidP="009346D5">
            <w:pPr>
              <w:jc w:val="both"/>
              <w:rPr>
                <w:sz w:val="18"/>
                <w:szCs w:val="18"/>
              </w:rPr>
            </w:pPr>
            <w:r w:rsidRPr="005D0175">
              <w:rPr>
                <w:sz w:val="18"/>
                <w:szCs w:val="18"/>
              </w:rPr>
              <w:t>040</w:t>
            </w:r>
          </w:p>
        </w:tc>
        <w:tc>
          <w:tcPr>
            <w:tcW w:w="1041" w:type="dxa"/>
            <w:vAlign w:val="center"/>
          </w:tcPr>
          <w:p w:rsidR="00814E3D" w:rsidRPr="005D0175" w:rsidRDefault="00814E3D" w:rsidP="009346D5">
            <w:pPr>
              <w:pBdr>
                <w:top w:val="nil"/>
                <w:left w:val="nil"/>
                <w:bottom w:val="nil"/>
                <w:right w:val="nil"/>
                <w:between w:val="nil"/>
              </w:pBdr>
              <w:tabs>
                <w:tab w:val="left" w:pos="0"/>
              </w:tabs>
              <w:jc w:val="both"/>
              <w:rPr>
                <w:color w:val="000000"/>
                <w:sz w:val="18"/>
                <w:szCs w:val="18"/>
              </w:rPr>
            </w:pPr>
            <w:r w:rsidRPr="005D0175">
              <w:rPr>
                <w:color w:val="000000"/>
                <w:sz w:val="18"/>
                <w:szCs w:val="18"/>
              </w:rPr>
              <w:t>Significant</w:t>
            </w:r>
          </w:p>
        </w:tc>
        <w:tc>
          <w:tcPr>
            <w:tcW w:w="945" w:type="dxa"/>
          </w:tcPr>
          <w:p w:rsidR="00814E3D" w:rsidRPr="005D0175" w:rsidRDefault="00814E3D" w:rsidP="009346D5">
            <w:pPr>
              <w:pBdr>
                <w:top w:val="nil"/>
                <w:left w:val="nil"/>
                <w:bottom w:val="nil"/>
                <w:right w:val="nil"/>
                <w:between w:val="nil"/>
              </w:pBdr>
              <w:tabs>
                <w:tab w:val="left" w:pos="0"/>
              </w:tabs>
              <w:jc w:val="both"/>
              <w:rPr>
                <w:color w:val="000000"/>
                <w:sz w:val="18"/>
                <w:szCs w:val="18"/>
              </w:rPr>
            </w:pPr>
            <w:r w:rsidRPr="005D0175">
              <w:rPr>
                <w:color w:val="000000"/>
                <w:sz w:val="18"/>
                <w:szCs w:val="18"/>
              </w:rPr>
              <w:t>supported</w:t>
            </w:r>
          </w:p>
        </w:tc>
      </w:tr>
      <w:tr w:rsidR="00814E3D" w:rsidRPr="00814E3D" w:rsidTr="009346D5">
        <w:trPr>
          <w:trHeight w:val="362"/>
        </w:trPr>
        <w:tc>
          <w:tcPr>
            <w:tcW w:w="2937" w:type="dxa"/>
            <w:gridSpan w:val="2"/>
            <w:tcBorders>
              <w:bottom w:val="single" w:sz="12" w:space="0" w:color="000000"/>
            </w:tcBorders>
            <w:vAlign w:val="center"/>
          </w:tcPr>
          <w:p w:rsidR="00814E3D" w:rsidRPr="00814E3D" w:rsidRDefault="00814E3D" w:rsidP="009346D5">
            <w:pPr>
              <w:rPr>
                <w:sz w:val="18"/>
                <w:szCs w:val="18"/>
              </w:rPr>
            </w:pPr>
            <w:r w:rsidRPr="00814E3D">
              <w:rPr>
                <w:sz w:val="18"/>
                <w:szCs w:val="18"/>
              </w:rPr>
              <w:t xml:space="preserve">Awareness (B) &lt;--- </w:t>
            </w:r>
            <w:r w:rsidRPr="00814E3D">
              <w:rPr>
                <w:i/>
                <w:sz w:val="18"/>
                <w:szCs w:val="18"/>
              </w:rPr>
              <w:t>Marketing Communicatio</w:t>
            </w:r>
            <w:r w:rsidRPr="00814E3D">
              <w:rPr>
                <w:i/>
                <w:sz w:val="18"/>
                <w:szCs w:val="18"/>
                <w:lang w:val="id-ID"/>
              </w:rPr>
              <w:t>n</w:t>
            </w:r>
            <w:r w:rsidRPr="00814E3D">
              <w:rPr>
                <w:sz w:val="18"/>
                <w:szCs w:val="18"/>
              </w:rPr>
              <w:t xml:space="preserve"> (A)</w:t>
            </w:r>
          </w:p>
        </w:tc>
        <w:tc>
          <w:tcPr>
            <w:tcW w:w="630" w:type="dxa"/>
            <w:tcBorders>
              <w:bottom w:val="single" w:sz="12" w:space="0" w:color="000000"/>
            </w:tcBorders>
            <w:vAlign w:val="center"/>
          </w:tcPr>
          <w:p w:rsidR="00814E3D" w:rsidRPr="00814E3D" w:rsidRDefault="00814E3D" w:rsidP="009346D5">
            <w:pPr>
              <w:jc w:val="both"/>
              <w:rPr>
                <w:sz w:val="18"/>
                <w:szCs w:val="18"/>
              </w:rPr>
            </w:pPr>
          </w:p>
        </w:tc>
        <w:tc>
          <w:tcPr>
            <w:tcW w:w="934" w:type="dxa"/>
            <w:gridSpan w:val="2"/>
            <w:tcBorders>
              <w:bottom w:val="single" w:sz="12" w:space="0" w:color="000000"/>
            </w:tcBorders>
            <w:vAlign w:val="center"/>
          </w:tcPr>
          <w:p w:rsidR="00814E3D" w:rsidRPr="00814E3D" w:rsidRDefault="00814E3D" w:rsidP="009346D5">
            <w:pPr>
              <w:jc w:val="both"/>
              <w:rPr>
                <w:sz w:val="18"/>
                <w:szCs w:val="18"/>
              </w:rPr>
            </w:pPr>
            <w:r w:rsidRPr="00814E3D">
              <w:rPr>
                <w:sz w:val="18"/>
                <w:szCs w:val="18"/>
              </w:rPr>
              <w:t>0.176,041</w:t>
            </w:r>
          </w:p>
        </w:tc>
        <w:tc>
          <w:tcPr>
            <w:tcW w:w="800" w:type="dxa"/>
            <w:tcBorders>
              <w:bottom w:val="single" w:sz="12" w:space="0" w:color="000000"/>
            </w:tcBorders>
            <w:vAlign w:val="center"/>
          </w:tcPr>
          <w:p w:rsidR="00814E3D" w:rsidRPr="00814E3D" w:rsidRDefault="00814E3D" w:rsidP="009346D5">
            <w:pPr>
              <w:jc w:val="both"/>
              <w:rPr>
                <w:sz w:val="18"/>
                <w:szCs w:val="18"/>
              </w:rPr>
            </w:pPr>
            <w:r w:rsidRPr="00814E3D">
              <w:rPr>
                <w:sz w:val="18"/>
                <w:szCs w:val="18"/>
              </w:rPr>
              <w:t>4.310</w:t>
            </w:r>
          </w:p>
        </w:tc>
        <w:tc>
          <w:tcPr>
            <w:tcW w:w="935" w:type="dxa"/>
            <w:tcBorders>
              <w:bottom w:val="single" w:sz="12" w:space="0" w:color="000000"/>
            </w:tcBorders>
            <w:vAlign w:val="center"/>
          </w:tcPr>
          <w:p w:rsidR="00814E3D" w:rsidRPr="00814E3D" w:rsidRDefault="00814E3D" w:rsidP="009346D5">
            <w:pPr>
              <w:jc w:val="both"/>
              <w:rPr>
                <w:sz w:val="18"/>
                <w:szCs w:val="18"/>
              </w:rPr>
            </w:pPr>
            <w:r w:rsidRPr="00814E3D">
              <w:rPr>
                <w:sz w:val="18"/>
                <w:szCs w:val="18"/>
              </w:rPr>
              <w:t>***</w:t>
            </w:r>
          </w:p>
        </w:tc>
        <w:tc>
          <w:tcPr>
            <w:tcW w:w="1041" w:type="dxa"/>
            <w:tcBorders>
              <w:bottom w:val="single" w:sz="12" w:space="0" w:color="000000"/>
            </w:tcBorders>
            <w:vAlign w:val="center"/>
          </w:tcPr>
          <w:p w:rsidR="00814E3D" w:rsidRPr="00814E3D" w:rsidRDefault="00814E3D" w:rsidP="009346D5">
            <w:pPr>
              <w:pBdr>
                <w:top w:val="nil"/>
                <w:left w:val="nil"/>
                <w:bottom w:val="nil"/>
                <w:right w:val="nil"/>
                <w:between w:val="nil"/>
              </w:pBdr>
              <w:tabs>
                <w:tab w:val="left" w:pos="0"/>
              </w:tabs>
              <w:jc w:val="both"/>
              <w:rPr>
                <w:color w:val="000000"/>
                <w:sz w:val="18"/>
                <w:szCs w:val="18"/>
              </w:rPr>
            </w:pPr>
            <w:r w:rsidRPr="00814E3D">
              <w:rPr>
                <w:color w:val="000000"/>
                <w:sz w:val="18"/>
                <w:szCs w:val="18"/>
              </w:rPr>
              <w:t>Significant</w:t>
            </w:r>
          </w:p>
        </w:tc>
        <w:tc>
          <w:tcPr>
            <w:tcW w:w="945" w:type="dxa"/>
            <w:tcBorders>
              <w:bottom w:val="single" w:sz="12" w:space="0" w:color="000000"/>
            </w:tcBorders>
          </w:tcPr>
          <w:p w:rsidR="00814E3D" w:rsidRPr="00814E3D" w:rsidRDefault="00814E3D" w:rsidP="009346D5">
            <w:pPr>
              <w:pBdr>
                <w:top w:val="nil"/>
                <w:left w:val="nil"/>
                <w:bottom w:val="nil"/>
                <w:right w:val="nil"/>
                <w:between w:val="nil"/>
              </w:pBdr>
              <w:tabs>
                <w:tab w:val="left" w:pos="0"/>
              </w:tabs>
              <w:jc w:val="both"/>
              <w:rPr>
                <w:color w:val="000000"/>
                <w:sz w:val="18"/>
                <w:szCs w:val="18"/>
              </w:rPr>
            </w:pPr>
            <w:r w:rsidRPr="00814E3D">
              <w:rPr>
                <w:color w:val="000000"/>
                <w:sz w:val="18"/>
                <w:szCs w:val="18"/>
              </w:rPr>
              <w:t>supported</w:t>
            </w:r>
          </w:p>
        </w:tc>
      </w:tr>
    </w:tbl>
    <w:p w:rsidR="00814E3D" w:rsidRDefault="00FA5DAB" w:rsidP="00EF6857">
      <w:pPr>
        <w:ind w:firstLine="426"/>
        <w:jc w:val="both"/>
      </w:pPr>
      <w:r>
        <w:rPr>
          <w:b/>
        </w:rPr>
        <w:br/>
      </w:r>
      <w:r w:rsidR="00EF6857" w:rsidRPr="006C5CED">
        <w:t>The results in Table 2 show that before mediation, the direct effect of marketing communication on customer intention in Syariah banks is significant (β = 0.451, p-value = 0.000). After mediation by adding the awareness variable, the beta value decreased (β = 0.106, p-value = 0.040) but the effect of marketing communication on intention was still significant. Thus it can be stated that the awareness variable mediates partially (partial mediation).</w:t>
      </w:r>
    </w:p>
    <w:p w:rsidR="00814E3D" w:rsidRPr="006C5CED" w:rsidRDefault="00814E3D" w:rsidP="00814E3D">
      <w:pPr>
        <w:ind w:firstLine="426"/>
        <w:jc w:val="both"/>
      </w:pPr>
      <w:r w:rsidRPr="006C5CED">
        <w:t>Students are a potential segment to be developed by banks around the world because after they graduate, they can make choices for banks based o</w:t>
      </w:r>
      <w:r>
        <w:t>n several criteria they believe</w:t>
      </w:r>
      <w:r w:rsidRPr="006C5CED">
        <w:t xml:space="preserve"> </w:t>
      </w:r>
      <w:r w:rsidRPr="006C5CED">
        <w:fldChar w:fldCharType="begin" w:fldLock="1"/>
      </w:r>
      <w:r w:rsidR="00EF6857">
        <w:instrText>ADDIN CSL_CITATION {"citationItems":[{"id":"ITEM-1","itemData":{"DOI":"10.1108/02652320110388531","ISSN":"02652323","abstract":"Undergraduates constitute an attractive segment of customers for retail banks in many countries of the world, including Singapore. This study, using a sample of Singapore's undergraduates, sets out to establish a ranking of the various dimensions which influence their bank selection decision and seeks to determine how homogeneous undergraduates are in relation to their selection decision. Seven bank selection dimensions were identified, the most important being undergraduates should “feel secure”, while the least important dimension was “third party influences”. Responses between those “attending engineering courses and non-engineering courses” were compared, as were those between “males and females” and “single and multiple bank users”. More significant differences were found when engineering undergraduates were compared with non-engineering undergraduates. Irrespective of these differences, the sequencing of the seven selection dimensions was invariably in the same order. © 2001, MCB UP Limited","author":[{"dropping-particle":"","family":"Gerrard","given":"Philip","non-dropping-particle":"","parse-names":false,"suffix":""},{"dropping-particle":"","family":"Barton Cunningham","given":"J.","non-dropping-particle":"","parse-names":false,"suffix":""}],"container-title":"International Journal of Bank Marketing","id":"ITEM-1","issue":"3","issued":{"date-parts":[["2001"]]},"page":"104-114","title":"Singapore's undergraduates: How they choose which bank to patronise","type":"article-journal","volume":"19"},"uris":["http://www.mendeley.com/documents/?uuid=684a83fc-873c-4cc2-9198-6e39e6fbbb8f"]}],"mendeley":{"formattedCitation":"[25]","plainTextFormattedCitation":"[25]","previouslyFormattedCitation":"[25]"},"properties":{"noteIndex":0},"schema":"https://github.com/citation-style-language/schema/raw/master/csl-citation.json"}</w:instrText>
      </w:r>
      <w:r w:rsidRPr="006C5CED">
        <w:fldChar w:fldCharType="separate"/>
      </w:r>
      <w:r w:rsidR="00EF6857" w:rsidRPr="00EF6857">
        <w:rPr>
          <w:noProof/>
        </w:rPr>
        <w:t>[25]</w:t>
      </w:r>
      <w:r w:rsidRPr="006C5CED">
        <w:fldChar w:fldCharType="end"/>
      </w:r>
      <w:r w:rsidRPr="006C5CED">
        <w:t xml:space="preserve">. The </w:t>
      </w:r>
      <w:r w:rsidRPr="006C5CED">
        <w:lastRenderedPageBreak/>
        <w:t>results also show that marketing communic</w:t>
      </w:r>
      <w:r w:rsidR="00EF6857">
        <w:t xml:space="preserve">ations affect brand awareness. </w:t>
      </w:r>
      <w:r w:rsidRPr="006C5CED">
        <w:t xml:space="preserve">Advertising and other promotional tools aim to convey messages to customers about the products offered by an organization. Consumers will not use a product if they are not aware of it, so brand awareness is a common communication goal for all promotional strategies </w:t>
      </w:r>
      <w:r w:rsidRPr="006C5CED">
        <w:fldChar w:fldCharType="begin" w:fldLock="1"/>
      </w:r>
      <w:r w:rsidR="00EF6857">
        <w:instrText>ADDIN CSL_CITATION {"citationItems":[{"id":"ITEM-1","itemData":{"ISBN":"9780073404769","author":[{"dropping-particle":"","family":"Peter","given":"Paul J","non-dropping-particle":"","parse-names":false,"suffix":""},{"dropping-particle":"","family":"Olson","given":"Jerry C","non-dropping-particle":"","parse-names":false,"suffix":""}],"edition":"ninth edit","editor":[{"dropping-particle":"","family":"Brent Gordon","given":"","non-dropping-particle":"","parse-names":false,"suffix":""}],"id":"ITEM-1","issued":{"date-parts":[["2010"]]},"number-of-pages":"578","publisher":"McGraw-Hill","publisher-place":"New York, USA","title":"Consumer Behavior Marketing Strategy","type":"book"},"uris":["http://www.mendeley.com/documents/?uuid=81393b83-b523-41b5-bc7c-83fa718bfaad"]}],"mendeley":{"formattedCitation":"[26]","plainTextFormattedCitation":"[26]","previouslyFormattedCitation":"[26]"},"properties":{"noteIndex":0},"schema":"https://github.com/citation-style-language/schema/raw/master/csl-citation.json"}</w:instrText>
      </w:r>
      <w:r w:rsidRPr="006C5CED">
        <w:fldChar w:fldCharType="separate"/>
      </w:r>
      <w:r w:rsidR="00EF6857" w:rsidRPr="00EF6857">
        <w:rPr>
          <w:noProof/>
        </w:rPr>
        <w:t>[26]</w:t>
      </w:r>
      <w:r w:rsidRPr="006C5CED">
        <w:fldChar w:fldCharType="end"/>
      </w:r>
      <w:r w:rsidRPr="006C5CED">
        <w:t xml:space="preserve">. Advertising and other promotional tools are declared effective if they can create customer awareness </w:t>
      </w:r>
      <w:r w:rsidRPr="006C5CED">
        <w:fldChar w:fldCharType="begin" w:fldLock="1"/>
      </w:r>
      <w:r w:rsidR="00EF6857">
        <w:instrText>ADDIN CSL_CITATION {"citationItems":[{"id":"ITEM-1","itemData":{"author":[{"dropping-particle":"","family":"Hakim","given":"Shabir Ahmad","non-dropping-particle":"","parse-names":false,"suffix":""},{"dropping-particle":"","family":"Al-jubari","given":"Ibrahim","non-dropping-particle":"","parse-names":false,"suffix":""},{"dropping-particle":"","family":"Bhatti","given":"Omar Khalid","non-dropping-particle":"","parse-names":false,"suffix":""}],"container-title":"Advertising of Islamic Banking Products","id":"ITEM-1","issue":"2","issued":{"date-parts":[["2011"]]},"page":"60-70","title":"Advertising of islamic banking products","type":"article-journal","volume":"1"},"uris":["http://www.mendeley.com/documents/?uuid=225c043a-65f3-4dbc-aeae-0dcbc208790d"]}],"mendeley":{"formattedCitation":"[27]","plainTextFormattedCitation":"[27]","previouslyFormattedCitation":"[27]"},"properties":{"noteIndex":0},"schema":"https://github.com/citation-style-language/schema/raw/master/csl-citation.json"}</w:instrText>
      </w:r>
      <w:r w:rsidRPr="006C5CED">
        <w:fldChar w:fldCharType="separate"/>
      </w:r>
      <w:r w:rsidR="00EF6857" w:rsidRPr="00EF6857">
        <w:rPr>
          <w:noProof/>
        </w:rPr>
        <w:t>[27]</w:t>
      </w:r>
      <w:r w:rsidRPr="006C5CED">
        <w:fldChar w:fldCharType="end"/>
      </w:r>
      <w:r w:rsidRPr="006C5CED">
        <w:t xml:space="preserve">. Advertising is a medium that is expected to have the greatest influence on brand awareness, although publicity, personal selling, and sales promotion can also increase awareness </w:t>
      </w:r>
      <w:r w:rsidRPr="006C5CED">
        <w:fldChar w:fldCharType="begin" w:fldLock="1"/>
      </w:r>
      <w:r w:rsidR="00EF6857">
        <w:instrText>ADDIN CSL_CITATION {"citationItems":[{"id":"ITEM-1","itemData":{"DOI":"10.1108/02652329710184433","ISSN":"02652323","abstract":"Establishes that, in Singapore, which has a minority of Muslims in its population, both Muslims and non-Muslims are generally unaware of the culture of Islamic banking. Also the two separate groups have different attitudes towards the Islamic banking movement, with the degree of difference depending on the nature of the respective matter put to them. For example, when asked what they would do if an Islamic bank did not make sufficient profits to make a distribution in any one year, 62.1 per cent of Muslims said they would keep their deposits within the Islamic banking movement, while 66.5 per cent of non-Muslims said they would withdraw their deposits. In relation to bank selection criteria, there was general accord as between Muslims and non-Muslims on the rating of the various criteria. Five significant differences were noted, the most relating to “being paid higher interest on savings”. The desire to be paid higher interest was far stronger with non-Muslims. © 1997, MCB UP Limited","author":[{"dropping-particle":"","family":"Gerrard","given":"Philip","non-dropping-particle":"","parse-names":false,"suffix":""},{"dropping-particle":"","family":"Barton Cunningham","given":"J.","non-dropping-particle":"","parse-names":false,"suffix":""}],"container-title":"International Journal of Bank Marketing","id":"ITEM-1","issue":"6","issued":{"date-parts":[["1997"]]},"page":"204-216","title":"Islamic banking: A study in Singapore","type":"article-journal","volume":"15"},"uris":["http://www.mendeley.com/documents/?uuid=3bd6a500-1988-44f7-9cdf-ae3649d08eb6"]},{"id":"ITEM-2","itemData":{"ISBN":"9780073404769","author":[{"dropping-particle":"","family":"Peter","given":"Paul J","non-dropping-particle":"","parse-names":false,"suffix":""},{"dropping-particle":"","family":"Olson","given":"Jerry C","non-dropping-particle":"","parse-names":false,"suffix":""}],"edition":"ninth edit","editor":[{"dropping-particle":"","family":"Brent Gordon","given":"","non-dropping-particle":"","parse-names":false,"suffix":""}],"id":"ITEM-2","issued":{"date-parts":[["2010"]]},"number-of-pages":"578","publisher":"McGraw-Hill","publisher-place":"New York, USA","title":"Consumer Behavior Marketing Strategy","type":"book"},"uris":["http://www.mendeley.com/documents/?uuid=81393b83-b523-41b5-bc7c-83fa718bfaad"]}],"mendeley":{"formattedCitation":"[26], [28]","plainTextFormattedCitation":"[26], [28]","previouslyFormattedCitation":"[26], [28]"},"properties":{"noteIndex":0},"schema":"https://github.com/citation-style-language/schema/raw/master/csl-citation.json"}</w:instrText>
      </w:r>
      <w:r w:rsidRPr="006C5CED">
        <w:fldChar w:fldCharType="separate"/>
      </w:r>
      <w:r w:rsidR="00EF6857" w:rsidRPr="00EF6857">
        <w:rPr>
          <w:noProof/>
        </w:rPr>
        <w:t>[26], [28]</w:t>
      </w:r>
      <w:r w:rsidRPr="006C5CED">
        <w:fldChar w:fldCharType="end"/>
      </w:r>
      <w:r w:rsidRPr="006C5CED">
        <w:t xml:space="preserve">.  </w:t>
      </w:r>
    </w:p>
    <w:p w:rsidR="00814E3D" w:rsidRDefault="00814E3D" w:rsidP="00814E3D">
      <w:pPr>
        <w:ind w:firstLine="720"/>
        <w:jc w:val="both"/>
      </w:pPr>
      <w:r w:rsidRPr="006C5CED">
        <w:t xml:space="preserve">Most of the marketing communication media for Syariah banks that are often seen and read by students are advertisements, brochures, banners, bank signboards, advertisements in print media, and Syariah bank websites. This shows that advertising is a medium that provides a lot of information to students about Syariah banks. However, other marketing communication media, such as events, seminars, sales promotions also provide information about Syariah banks to students. The results of this study are in line with research conducted by </w:t>
      </w:r>
      <w:r w:rsidRPr="006C5CED">
        <w:fldChar w:fldCharType="begin" w:fldLock="1"/>
      </w:r>
      <w:r w:rsidR="00EF6857">
        <w:instrText>ADDIN CSL_CITATION {"citationItems":[{"id":"ITEM-1","itemData":{"author":[{"dropping-particle":"","family":"Hakim","given":"Shabir Ahmad","non-dropping-particle":"","parse-names":false,"suffix":""},{"dropping-particle":"","family":"Al-jubari","given":"Ibrahim","non-dropping-particle":"","parse-names":false,"suffix":""},{"dropping-particle":"","family":"Bhatti","given":"Omar Khalid","non-dropping-particle":"","parse-names":false,"suffix":""}],"container-title":"Advertising of Islamic Banking Products","id":"ITEM-1","issue":"2","issued":{"date-parts":[["2011"]]},"page":"60-70","title":"Advertising of islamic banking products","type":"article-journal","volume":"1"},"uris":["http://www.mendeley.com/documents/?uuid=225c043a-65f3-4dbc-aeae-0dcbc208790d"]}],"mendeley":{"formattedCitation":"[27]","plainTextFormattedCitation":"[27]","previouslyFormattedCitation":"[27]"},"properties":{"noteIndex":0},"schema":"https://github.com/citation-style-language/schema/raw/master/csl-citation.json"}</w:instrText>
      </w:r>
      <w:r w:rsidRPr="006C5CED">
        <w:fldChar w:fldCharType="separate"/>
      </w:r>
      <w:r w:rsidR="00EF6857" w:rsidRPr="00EF6857">
        <w:rPr>
          <w:noProof/>
        </w:rPr>
        <w:t>[27]</w:t>
      </w:r>
      <w:r w:rsidRPr="006C5CED">
        <w:fldChar w:fldCharType="end"/>
      </w:r>
      <w:r w:rsidRPr="006C5CED">
        <w:t xml:space="preserve"> which shows that marketing communications such as direct marketing, seminars, and carnivals conducted by Islamic financial institutions affect the understanding of Islamic financial institutions. In social media, consumers who initially participate passively in marketing become active creators and influencers, transfer the power of the brand directly to consumers because of two-way communication </w:t>
      </w:r>
      <w:r w:rsidRPr="006C5CED">
        <w:fldChar w:fldCharType="begin" w:fldLock="1"/>
      </w:r>
      <w:r w:rsidR="0009000A">
        <w:instrText>ADDIN CSL_CITATION {"citationItems":[{"id":"ITEM-1","itemData":{"DOI":"10.15640/jsbed.v3n1a4","ISSN":"23336374","abstract":"The paper broadly examines the role of social media in Islamic marketing strategy development within the context of the reported shift towards more relationship-oriented approaches to marketing. Social media platforms have emerged as key communication tools in relationship marketing in part because of their ability to facilitate on-going two-way communication between an organization and a mass audience, whilst maintaining the push-messaging capabilities of traditional marketing. There is therefore growing academic interest in exploring the factors that influence the adoption and use of social media for business development purposes. There is a similarly growing interest in the field of Islamic marketing, due in part to its sheer size, as well as the relatively significant influence that Islam exerts on the consumption behaviors of Muslims and on the operations of business managers. The goal of the paper, then, is to describe the role that social media platforms play as brand communication tools in an Islamic marketing context. We begin the paper with a brief exposition of the concept of Islamic marketing, highlighting some of the factors influencing academic developments in the field. Next, we discuss the main ways in which the use of social media by marketers and consumers alike influence Muslim consumer behavior. Finally, we conclude the paper by examining the effectiveness of the evolving role of social media platforms as tools with which marketing managers can influence the purchase behavior of Muslim customers.","author":[{"dropping-particle":"","family":"Fadahunsi","given":"Professor Akin","non-dropping-particle":"","parse-names":false,"suffix":""},{"dropping-particle":"","family":"Kargwell","given":"Dr. Samia","non-dropping-particle":"","parse-names":false,"suffix":""}],"container-title":"Journal of Small Business and Entrepreneurship Development","id":"ITEM-1","issue":"1","issued":{"date-parts":[["2015"]]},"page":"36-43","title":"Social Media, Consumer Behavior and Marketing Strategy: Implications of “Halal” on Islamic Marketing Operations","type":"article-journal","volume":"3"},"uris":["http://www.mendeley.com/documents/?uuid=e2117784-0e5a-454c-a8b3-104a7985e001"]}],"mendeley":{"formattedCitation":"[29]","plainTextFormattedCitation":"[29]","previouslyFormattedCitation":"[29]"},"properties":{"noteIndex":0},"schema":"https://github.com/citation-style-language/schema/raw/master/csl-citation.json"}</w:instrText>
      </w:r>
      <w:r w:rsidRPr="006C5CED">
        <w:fldChar w:fldCharType="separate"/>
      </w:r>
      <w:r w:rsidR="00B94194" w:rsidRPr="00B94194">
        <w:rPr>
          <w:noProof/>
        </w:rPr>
        <w:t>[29]</w:t>
      </w:r>
      <w:r w:rsidRPr="006C5CED">
        <w:fldChar w:fldCharType="end"/>
      </w:r>
      <w:r w:rsidRPr="006C5CED">
        <w:t>.</w:t>
      </w:r>
      <w:r w:rsidRPr="006C5CED">
        <w:rPr>
          <w:lang w:val="id-ID"/>
        </w:rPr>
        <w:t xml:space="preserve"> </w:t>
      </w:r>
      <w:r w:rsidRPr="006C5CED">
        <w:t xml:space="preserve">The research conducted also shows that brand awareness partially mediates the purchase intention of Syariah bank customers. The results of this study are in line with the results of research conducted by </w:t>
      </w:r>
      <w:r w:rsidRPr="006C5CED">
        <w:fldChar w:fldCharType="begin" w:fldLock="1"/>
      </w:r>
      <w:r w:rsidR="009346D5">
        <w:instrText>ADDIN CSL_CITATION {"citationItems":[{"id":"ITEM-1","itemData":{"DOI":"10.1108/JPBM-05-2013-0299","ISSN":"10610421","abstract":"Purpose: The purpose of this article is to analyze how social media activities, in specifically the Facebook page of a car manufacturer, and user interactions with these brand related activities affect the perception of brands and ultimately influence consumers purchase decision. Based on an online survey with users of the corporation's Facebook fanpage, and in accordance to hierarchy of effects theory the author's findings show the positive effect of fanpage engagement on consumers' brand awareness, word of mouth (WOM) activities, and purchase intention. The findings further indicate that annoyance with the fanpage due to information overload leads to negative effects on fanpage commitment and to decreased WOM activities. From a theoretical standpoint the results of this study contribute to understanding of the value-enhancing potential of social media campaigns. Design/methodology/approach: To answer the authors' research questions and test their hypotheses, a study was set up in cooperation with the car brand MINI. To test their hypotheses, the authors applied structural equation modeling with AMOS 18. Findings: The article analyzes the influence of brands' social media activities and participants' social media involvement on the purchase decision process of consumers. Their findings demonstrate that engagement with a Facebook fanpage has positive effects on consumers' brand awareness, WOM activities and purchase intention. Results further indicate that annoyance with the fanpage leads to negative effects in respect to the overall commitment to and involvement with the fanpage and WOM. The authors' research shows that social media activities indeed affect the purchase decision-making process. Originality/value: New marketing communication reality presents new challenges and opportunities for companies as purchase decisions are increasingly influenced by social media interactions. People rely more than ever on their social networks when making those decisions. Nevertheless, outcomes of social media activities are still disputed in practice. The effects of social media campaigns on consumers' perception of products and brands as well as the effects on purchase decisions have yet to be better understood. This study therefore investigates how social media activities, in specific the Facebook appearance of a car manufacturer, affect the perception of brands, and ultimately influence the purchase decision process of consumers while considering the risk of …","author":[{"dropping-particle":"","family":"Hutter","given":"Katja","non-dropping-particle":"","parse-names":false,"suffix":""},{"dropping-particle":"","family":"Hautz","given":"Julia","non-dropping-particle":"","parse-names":false,"suffix":""},{"dropping-particle":"","family":"Dennhardt","given":"Severin","non-dropping-particle":"","parse-names":false,"suffix":""},{"dropping-particle":"","family":"Füller","given":"Johann","non-dropping-particle":"","parse-names":false,"suffix":""}],"container-title":"Journal of Product and Brand Management","id":"ITEM-1","issue":"5","issued":{"date-parts":[["2013"]]},"page":"342-351","title":"The impact of user interactions in social media on brand awareness and purchase intention: The case of MINI on Facebook","type":"article-journal","volume":"22"},"uris":["http://www.mendeley.com/documents/?uuid=7d645134-41d7-4e40-8d36-8b94afd58120"]}],"mendeley":{"formattedCitation":"[22]","plainTextFormattedCitation":"[22]","previouslyFormattedCitation":"[22]"},"properties":{"noteIndex":0},"schema":"https://github.com/citation-style-language/schema/raw/master/csl-citation.json"}</w:instrText>
      </w:r>
      <w:r w:rsidRPr="006C5CED">
        <w:fldChar w:fldCharType="separate"/>
      </w:r>
      <w:r w:rsidR="009346D5" w:rsidRPr="009346D5">
        <w:rPr>
          <w:noProof/>
        </w:rPr>
        <w:t>[22]</w:t>
      </w:r>
      <w:r w:rsidRPr="006C5CED">
        <w:fldChar w:fldCharType="end"/>
      </w:r>
      <w:r w:rsidRPr="006C5CED">
        <w:t xml:space="preserve"> which examined the impact of social media on brand awareness, activity word of mouth, and purchase intention. Only 27.7% of respondents stated that Syariah banks emerged as the main choice when using Syariah bank products. These results indicate that most respondents are at the lowest awareness stage, namely the cognitive stage. At this stage, it is necessary to repeat marketing communication messages so that students can remember the messages conveyed, understand, and take purchase actions. The results of this study are similar to research conducted by </w:t>
      </w:r>
      <w:r w:rsidRPr="006C5CED">
        <w:fldChar w:fldCharType="begin" w:fldLock="1"/>
      </w:r>
      <w:r w:rsidR="006F24DF">
        <w:instrText>ADDIN CSL_CITATION {"citationItems":[{"id":"ITEM-1","itemData":{"abstract":"It is estimated that one billion people in the world adhere to the Islamic faith and becoming more devout by the day (Barakat and Sarver, 1997). At a growth rate of 15 percent a year, Islamic banking has $65 billion in assets. However, this is less than 1 percent of bank assets worldwide ( Wilson, 1995). The next millenium could witness a tremendous growth in Islamic banking. For example, in the United States, the financial needs of the country’s Muslim community are estimated at about $80 billion, as a result of demand by Muslim immigrants to that country (Ahmad, 1998). Despite 15 percent growth of Islamic banking elsewhere in the world, Islamic bank in Malaysia is still groping to achieve a market share of 5 percent by the year 2000. As at June 1998, Islamic bank total deposits are only RM10.04 billion as compared with RM420.8 billion deposits in the whole banking system. This means that Islamic banking’s share in terms of deposits in the Malaysian banking system, comprises only 1.06 percent. Economic downturn in the Asian region is part of the reason, apart from the weak marketing strategy (Haron, Ahmad and Planisek, 1994). However, the Islamic bank’s education strategy are is equally important. Education in Islamic banking and finance has been neglected as far as Islamic banks are concerned. Therefore, the purpose of this research is to examine Islamic banks’ strategy in educating the public about their existence and products. With 53 percent of Malaysian population being Muslims, it is appropriate to ask why Islamic banks can capture only a 1.5 percent share in terms of deposits. A study conducted in Malaysia in 1994, regarding knowledge about Islamic banking showed that almost 100 percent of the Muslim population was aware of the existence of the Islamic bank. However, out of these, only 27.3 percent completely understood the differences between Islamic bank and conventional banks; and only 38.7 percent patronize the Islamic bank strictly because of religion. A similar situation occurred in Singapore, where only 22.6 percent of Muslims deposit money in Islamic banks solely because of religion (Gerrard and Cunningham, 1997). One of the contributing factors to this absence of awareness among Muslims is the lack of understanding of Islamic banking. A study conducted in Singapore showed that only 20.7 percent know the meaning of ‘Riba’ and 31 percent know the meaning of Sharia’h. The study also showed that only 3 percent can explain accurately the mea…","author":[{"dropping-particle":"","family":"Hamid","given":"Abdul Halim Abdul","non-dropping-particle":"","parse-names":false,"suffix":""},{"dropping-particle":"","family":"Nordin","given":"Norizaton Azmin Mohd","non-dropping-particle":"","parse-names":false,"suffix":""}],"container-title":"International Journal of Islamic Financial Services","id":"ITEM-1","issue":"4","issued":{"date-parts":[["2001"]]},"page":"1-10","title":"A Study on Islamica Banking Education and Strategy for The New Millenium - Malaysian Experiance","type":"article-journal","volume":"2"},"uris":["http://www.mendeley.com/documents/?uuid=c2ac6966-01f5-4aeb-9f00-50857e92a024"]}],"mendeley":{"formattedCitation":"[30]","plainTextFormattedCitation":"[30]","previouslyFormattedCitation":"[30]"},"properties":{"noteIndex":0},"schema":"https://github.com/citation-style-language/schema/raw/master/csl-citation.json"}</w:instrText>
      </w:r>
      <w:r w:rsidRPr="006C5CED">
        <w:fldChar w:fldCharType="separate"/>
      </w:r>
      <w:r w:rsidR="006F24DF" w:rsidRPr="006F24DF">
        <w:rPr>
          <w:noProof/>
        </w:rPr>
        <w:t>[30]</w:t>
      </w:r>
      <w:r w:rsidRPr="006C5CED">
        <w:fldChar w:fldCharType="end"/>
      </w:r>
      <w:r w:rsidRPr="006C5CED">
        <w:t xml:space="preserve"> which examines Syariah banking education and the strategies that will be carried out by Syariah banks. This result strengthens the statement put forward by </w:t>
      </w:r>
      <w:r w:rsidRPr="006C5CED">
        <w:fldChar w:fldCharType="begin" w:fldLock="1"/>
      </w:r>
      <w:r w:rsidR="009346D5">
        <w:instrText>ADDIN CSL_CITATION {"citationItems":[{"id":"ITEM-1","itemData":{"DOI":"10.1108/02652323199400002","ISSN":"02652323","author":[{"dropping-particle":"","family":"Abou-Youssef","given":"Mariam Mourad Hussein","non-dropping-particle":"","parse-names":false,"suffix":""},{"dropping-particle":"","family":"Abou-Aish","given":"Wael Kortam Ehab","non-dropping-particle":"","parse-names":false,"suffix":""},{"dropping-particle":"","family":"El-Bassioun","given":"Noha","non-dropping-particle":"","parse-names":false,"suffix":""}],"container-title":"International Journal of Bank Marketing","id":"ITEM-1","issue":"6","issued":{"date-parts":[["1994"]]},"number-of-pages":"1-32","title":"Effects of religiosity on consumer attitudes toward Islamic banking in Egypt","type":"report","volume":"33"},"uris":["http://www.mendeley.com/documents/?uuid=cd1f09b4-d924-44a9-b9d4-6b8fb398b66a"]},{"id":"ITEM-2","itemData":{"abstract":"This research investigates the relationship between university student knowledge of relevant financial concepts and terms in conventional and Islamic banking, the impact of religion and language, and other individual variables on preferences for financial services. Data from a university graduate and undergraduate business students (n = 667) from the United Arab Emirates was used to investigate the role of financial knowledge, religion, and language on self-reported attitudes and preferences for financial services. Results suggest that knowledge of conventional banking terms and concepts was higher among these students than was Islamic banking terminology. Arabic language was the primary predictor of higher Islamic banking knowledge, as well as a significant, though weaker, predictor of lower conventional banking knowledge. The more education completed tended to improve financial knowledge of both conventional and Islamic finance. Finance students tended to have higher overall knowledge of both financial systems. Further, religious sincerity, not better knowledge, was the strongest predictor of preference for Islamic banking services. Implications of the research are discussed.","author":[{"dropping-particle":"","family":"Bley","given":"Jorg","non-dropping-particle":"","parse-names":false,"suffix":""},{"dropping-particle":"","family":"Kuehn","given":"Kermit","non-dropping-particle":"","parse-names":false,"suffix":""}],"container-title":"International Journal of Islamic Financial Services","id":"ITEM-2","issue":"4","issued":{"date-parts":[["2003"]]},"title":"Conventional Versus Islamic Finance : Student Knowledge and Perception","type":"article-journal","volume":"5"},"uris":["http://www.mendeley.com/documents/?uuid=ab51f957-2905-45a1-a07b-e5e75b6b707c"]}],"mendeley":{"formattedCitation":"[2], [3]","plainTextFormattedCitation":"[2], [3]","previouslyFormattedCitation":"[2], [3]"},"properties":{"noteIndex":0},"schema":"https://github.com/citation-style-language/schema/raw/master/csl-citation.json"}</w:instrText>
      </w:r>
      <w:r w:rsidRPr="006C5CED">
        <w:fldChar w:fldCharType="separate"/>
      </w:r>
      <w:r w:rsidR="009346D5" w:rsidRPr="009346D5">
        <w:rPr>
          <w:noProof/>
        </w:rPr>
        <w:t>[2], [3]</w:t>
      </w:r>
      <w:r w:rsidRPr="006C5CED">
        <w:fldChar w:fldCharType="end"/>
      </w:r>
      <w:r w:rsidRPr="006C5CED">
        <w:t xml:space="preserve"> which shows that public knowledge about banks in Muslim countries is still low. </w:t>
      </w:r>
    </w:p>
    <w:p w:rsidR="009346D5" w:rsidRPr="006C5CED" w:rsidRDefault="009346D5" w:rsidP="00814E3D">
      <w:pPr>
        <w:ind w:firstLine="720"/>
        <w:jc w:val="both"/>
      </w:pPr>
    </w:p>
    <w:p w:rsidR="009346D5" w:rsidRPr="009346D5" w:rsidRDefault="00EF6857" w:rsidP="009346D5">
      <w:pPr>
        <w:pStyle w:val="ListParagraph"/>
        <w:numPr>
          <w:ilvl w:val="0"/>
          <w:numId w:val="2"/>
        </w:numPr>
        <w:ind w:left="426"/>
        <w:jc w:val="both"/>
        <w:rPr>
          <w:rFonts w:ascii="Times New Roman" w:hAnsi="Times New Roman" w:cs="Times New Roman"/>
          <w:b/>
          <w:sz w:val="24"/>
          <w:szCs w:val="24"/>
        </w:rPr>
      </w:pPr>
      <w:r>
        <w:rPr>
          <w:rFonts w:ascii="Times New Roman" w:hAnsi="Times New Roman" w:cs="Times New Roman"/>
          <w:b/>
          <w:sz w:val="24"/>
          <w:szCs w:val="24"/>
          <w:lang w:val="id-ID"/>
        </w:rPr>
        <w:t>Summary</w:t>
      </w:r>
    </w:p>
    <w:p w:rsidR="00393765" w:rsidRDefault="009346D5" w:rsidP="009932DD">
      <w:pPr>
        <w:ind w:firstLine="426"/>
        <w:jc w:val="both"/>
      </w:pPr>
      <w:r w:rsidRPr="006C5CED">
        <w:t>Marketing communication has a positive and significant effect on customer awareness of Syariah banks. This means that the better the marketing communication carried out by the Financial Services Authority, the Syariah Banking Association, and the Syariah bank will improve their understanding of Syariah banks.. Based on the hierarchy-of-effects stage, the stages of customers who get information about Syariah banks are processing the information, getting to know Syariah banks and their products, understanding, liking, choosing, and using Syariah bank products. Most students know about Syariah banks and obtain information about Syariah banks from lecture materials delivered by lecturers, websites, seminars, advertisements, and from their families. The research also shows that most students a</w:t>
      </w:r>
      <w:r w:rsidR="005C6E18">
        <w:t>re still at the cognitive stage</w:t>
      </w:r>
      <w:r w:rsidRPr="006C5CED">
        <w:t>.</w:t>
      </w:r>
      <w:bookmarkStart w:id="0" w:name="_GoBack"/>
      <w:bookmarkEnd w:id="0"/>
    </w:p>
    <w:p w:rsidR="00393765" w:rsidRPr="006C5CED" w:rsidRDefault="00393765" w:rsidP="00393765">
      <w:pPr>
        <w:jc w:val="both"/>
      </w:pPr>
    </w:p>
    <w:p w:rsidR="00850D2A" w:rsidRPr="009346D5" w:rsidRDefault="009346D5" w:rsidP="009346D5">
      <w:pPr>
        <w:pStyle w:val="ListParagraph"/>
        <w:numPr>
          <w:ilvl w:val="0"/>
          <w:numId w:val="2"/>
        </w:numPr>
        <w:ind w:left="426"/>
        <w:jc w:val="both"/>
        <w:rPr>
          <w:rFonts w:ascii="Times New Roman" w:hAnsi="Times New Roman" w:cs="Times New Roman"/>
          <w:b/>
          <w:sz w:val="24"/>
          <w:szCs w:val="24"/>
        </w:rPr>
      </w:pPr>
      <w:r>
        <w:rPr>
          <w:rFonts w:ascii="Times New Roman" w:hAnsi="Times New Roman" w:cs="Times New Roman"/>
          <w:b/>
          <w:sz w:val="24"/>
          <w:szCs w:val="24"/>
          <w:lang w:val="id-ID"/>
        </w:rPr>
        <w:t>Implications</w:t>
      </w:r>
    </w:p>
    <w:p w:rsidR="009346D5" w:rsidRPr="006C5CED" w:rsidRDefault="009346D5" w:rsidP="009346D5">
      <w:pPr>
        <w:spacing w:after="120"/>
        <w:ind w:firstLine="720"/>
        <w:jc w:val="both"/>
      </w:pPr>
      <w:r w:rsidRPr="006C5CED">
        <w:t xml:space="preserve">Marketing communication is needed to build awareness of Indonesian people who are mostly Muslims to use Syariah banking products. The results showed that advertising is a medium that provides a lot of information for students to find out about Syariah banking. The </w:t>
      </w:r>
      <w:r w:rsidRPr="006C5CED">
        <w:lastRenderedPageBreak/>
        <w:t xml:space="preserve">Financial Services Authority, the Syariah Banking Association, and the Syariah bank should be able to intensify the use of advertisements and design good advertisements so that they are easily understood by consumers and can build customer awareness. Advertisements also inform products and services as well as the advantages of using Syariah banks, thereby increasing customer knowledge and increasing the intention to use Syariah banks in each of their financial transactions. The introduction of Syariah banking can also be carried out for children starting from the elementary school level through various activities including socialization, activities like saving money at school, as well as Corporate Social Responsibility activities carried out in schools. </w:t>
      </w:r>
    </w:p>
    <w:p w:rsidR="00850D2A" w:rsidRDefault="009346D5" w:rsidP="009346D5">
      <w:r>
        <w:rPr>
          <w:b/>
          <w:sz w:val="24"/>
          <w:szCs w:val="24"/>
        </w:rPr>
        <w:t>References</w:t>
      </w:r>
    </w:p>
    <w:p w:rsidR="009932DD" w:rsidRPr="009932DD" w:rsidRDefault="009346D5" w:rsidP="009932DD">
      <w:pPr>
        <w:widowControl w:val="0"/>
        <w:autoSpaceDE w:val="0"/>
        <w:autoSpaceDN w:val="0"/>
        <w:adjustRightInd w:val="0"/>
        <w:ind w:left="640" w:hanging="640"/>
        <w:rPr>
          <w:noProof/>
          <w:szCs w:val="24"/>
        </w:rPr>
      </w:pPr>
      <w:r>
        <w:fldChar w:fldCharType="begin" w:fldLock="1"/>
      </w:r>
      <w:r>
        <w:instrText xml:space="preserve">ADDIN Mendeley Bibliography CSL_BIBLIOGRAPHY </w:instrText>
      </w:r>
      <w:r>
        <w:fldChar w:fldCharType="separate"/>
      </w:r>
      <w:r w:rsidR="009932DD" w:rsidRPr="009932DD">
        <w:rPr>
          <w:noProof/>
          <w:szCs w:val="24"/>
        </w:rPr>
        <w:t>[1]</w:t>
      </w:r>
      <w:r w:rsidR="009932DD" w:rsidRPr="009932DD">
        <w:rPr>
          <w:noProof/>
          <w:szCs w:val="24"/>
        </w:rPr>
        <w:tab/>
        <w:t>Financial Service Authority, “Sharia Banking Statistics 2016,” Jakarta, 2016. doi: 10.1017/CBO9781107415324.004.</w:t>
      </w:r>
    </w:p>
    <w:p w:rsidR="009932DD" w:rsidRPr="009932DD" w:rsidRDefault="009932DD" w:rsidP="009932DD">
      <w:pPr>
        <w:widowControl w:val="0"/>
        <w:autoSpaceDE w:val="0"/>
        <w:autoSpaceDN w:val="0"/>
        <w:adjustRightInd w:val="0"/>
        <w:ind w:left="640" w:hanging="640"/>
        <w:rPr>
          <w:noProof/>
          <w:szCs w:val="24"/>
        </w:rPr>
      </w:pPr>
      <w:r w:rsidRPr="009932DD">
        <w:rPr>
          <w:noProof/>
          <w:szCs w:val="24"/>
        </w:rPr>
        <w:t>[2]</w:t>
      </w:r>
      <w:r w:rsidRPr="009932DD">
        <w:rPr>
          <w:noProof/>
          <w:szCs w:val="24"/>
        </w:rPr>
        <w:tab/>
        <w:t>M. M. H. Abou-Youssef, W. K. E. Abou-Aish, and N. El-Bassioun, “Effects of religiosity on consumer attitudes toward Islamic banking in Egypt,” 1994. doi: 10.1108/02652323199400002.</w:t>
      </w:r>
    </w:p>
    <w:p w:rsidR="009932DD" w:rsidRPr="009932DD" w:rsidRDefault="009932DD" w:rsidP="009932DD">
      <w:pPr>
        <w:widowControl w:val="0"/>
        <w:autoSpaceDE w:val="0"/>
        <w:autoSpaceDN w:val="0"/>
        <w:adjustRightInd w:val="0"/>
        <w:ind w:left="640" w:hanging="640"/>
        <w:rPr>
          <w:noProof/>
          <w:szCs w:val="24"/>
        </w:rPr>
      </w:pPr>
      <w:r w:rsidRPr="009932DD">
        <w:rPr>
          <w:noProof/>
          <w:szCs w:val="24"/>
        </w:rPr>
        <w:t>[3]</w:t>
      </w:r>
      <w:r w:rsidRPr="009932DD">
        <w:rPr>
          <w:noProof/>
          <w:szCs w:val="24"/>
        </w:rPr>
        <w:tab/>
        <w:t xml:space="preserve">J. Bley and K. Kuehn, “Conventional Versus Islamic Finance : Student Knowledge and Perception,” </w:t>
      </w:r>
      <w:r w:rsidRPr="009932DD">
        <w:rPr>
          <w:i/>
          <w:iCs/>
          <w:noProof/>
          <w:szCs w:val="24"/>
        </w:rPr>
        <w:t>Int. J. Islam. Financ. Serv.</w:t>
      </w:r>
      <w:r w:rsidRPr="009932DD">
        <w:rPr>
          <w:noProof/>
          <w:szCs w:val="24"/>
        </w:rPr>
        <w:t>, vol. 5, no. 4, 2003.</w:t>
      </w:r>
    </w:p>
    <w:p w:rsidR="009932DD" w:rsidRPr="009932DD" w:rsidRDefault="009932DD" w:rsidP="009932DD">
      <w:pPr>
        <w:widowControl w:val="0"/>
        <w:autoSpaceDE w:val="0"/>
        <w:autoSpaceDN w:val="0"/>
        <w:adjustRightInd w:val="0"/>
        <w:ind w:left="640" w:hanging="640"/>
        <w:rPr>
          <w:noProof/>
          <w:szCs w:val="24"/>
        </w:rPr>
      </w:pPr>
      <w:r w:rsidRPr="009932DD">
        <w:rPr>
          <w:noProof/>
          <w:szCs w:val="24"/>
        </w:rPr>
        <w:t>[4]</w:t>
      </w:r>
      <w:r w:rsidRPr="009932DD">
        <w:rPr>
          <w:noProof/>
          <w:szCs w:val="24"/>
        </w:rPr>
        <w:tab/>
        <w:t xml:space="preserve">C. Erol, E. Kaynak, and E. Radi, “Conventionel and Islamic Banks:patronage Behavior of Jordanian Costumers,” </w:t>
      </w:r>
      <w:r w:rsidRPr="009932DD">
        <w:rPr>
          <w:i/>
          <w:iCs/>
          <w:noProof/>
          <w:szCs w:val="24"/>
        </w:rPr>
        <w:t>Int. J. Bank Mark.</w:t>
      </w:r>
      <w:r w:rsidRPr="009932DD">
        <w:rPr>
          <w:noProof/>
          <w:szCs w:val="24"/>
        </w:rPr>
        <w:t>, vol. 8, no. 4, pp. 25–35, 1990, doi: https://doi.org/10.1108/02652329010004231.</w:t>
      </w:r>
    </w:p>
    <w:p w:rsidR="009932DD" w:rsidRPr="009932DD" w:rsidRDefault="009932DD" w:rsidP="009932DD">
      <w:pPr>
        <w:widowControl w:val="0"/>
        <w:autoSpaceDE w:val="0"/>
        <w:autoSpaceDN w:val="0"/>
        <w:adjustRightInd w:val="0"/>
        <w:ind w:left="640" w:hanging="640"/>
        <w:rPr>
          <w:noProof/>
          <w:szCs w:val="24"/>
        </w:rPr>
      </w:pPr>
      <w:r w:rsidRPr="009932DD">
        <w:rPr>
          <w:noProof/>
          <w:szCs w:val="24"/>
        </w:rPr>
        <w:t>[5]</w:t>
      </w:r>
      <w:r w:rsidRPr="009932DD">
        <w:rPr>
          <w:noProof/>
          <w:szCs w:val="24"/>
        </w:rPr>
        <w:tab/>
        <w:t xml:space="preserve">H. G. Rammal and R. Zurbruegg, “Awarenss of Islamic Banking Products Among Muslims: The Case of Australia,” </w:t>
      </w:r>
      <w:r w:rsidRPr="009932DD">
        <w:rPr>
          <w:i/>
          <w:iCs/>
          <w:noProof/>
          <w:szCs w:val="24"/>
        </w:rPr>
        <w:t>J. Financ. Serv. Mark.</w:t>
      </w:r>
      <w:r w:rsidRPr="009932DD">
        <w:rPr>
          <w:noProof/>
          <w:szCs w:val="24"/>
        </w:rPr>
        <w:t>, vol. 12, no. 1, pp. 65–74, 2007, doi: 10.1017/CBO9781107415324.004.</w:t>
      </w:r>
    </w:p>
    <w:p w:rsidR="009932DD" w:rsidRPr="009932DD" w:rsidRDefault="009932DD" w:rsidP="009932DD">
      <w:pPr>
        <w:widowControl w:val="0"/>
        <w:autoSpaceDE w:val="0"/>
        <w:autoSpaceDN w:val="0"/>
        <w:adjustRightInd w:val="0"/>
        <w:ind w:left="640" w:hanging="640"/>
        <w:rPr>
          <w:noProof/>
          <w:szCs w:val="24"/>
        </w:rPr>
      </w:pPr>
      <w:r w:rsidRPr="009932DD">
        <w:rPr>
          <w:noProof/>
          <w:szCs w:val="24"/>
        </w:rPr>
        <w:t>[6]</w:t>
      </w:r>
      <w:r w:rsidRPr="009932DD">
        <w:rPr>
          <w:noProof/>
          <w:szCs w:val="24"/>
        </w:rPr>
        <w:tab/>
        <w:t xml:space="preserve">R. Jabaly, S. Al Ameri, and W. A. Ghoul, “Islamic Banks’ Marketing and Communication Tactics : Towards a Better Reception and Perception,” </w:t>
      </w:r>
      <w:r w:rsidRPr="009932DD">
        <w:rPr>
          <w:i/>
          <w:iCs/>
          <w:noProof/>
          <w:szCs w:val="24"/>
        </w:rPr>
        <w:t>J. Islam. Econ. , Bank. Financ.</w:t>
      </w:r>
      <w:r w:rsidRPr="009932DD">
        <w:rPr>
          <w:noProof/>
          <w:szCs w:val="24"/>
        </w:rPr>
        <w:t>, vol. 9, no. 3, pp. 149–176, 2013, doi: 10.12816/0001616.</w:t>
      </w:r>
    </w:p>
    <w:p w:rsidR="009932DD" w:rsidRPr="009932DD" w:rsidRDefault="009932DD" w:rsidP="009932DD">
      <w:pPr>
        <w:widowControl w:val="0"/>
        <w:autoSpaceDE w:val="0"/>
        <w:autoSpaceDN w:val="0"/>
        <w:adjustRightInd w:val="0"/>
        <w:ind w:left="640" w:hanging="640"/>
        <w:rPr>
          <w:noProof/>
          <w:szCs w:val="24"/>
        </w:rPr>
      </w:pPr>
      <w:r w:rsidRPr="009932DD">
        <w:rPr>
          <w:noProof/>
          <w:szCs w:val="24"/>
        </w:rPr>
        <w:t>[7]</w:t>
      </w:r>
      <w:r w:rsidRPr="009932DD">
        <w:rPr>
          <w:noProof/>
          <w:szCs w:val="24"/>
        </w:rPr>
        <w:tab/>
        <w:t xml:space="preserve">A. G. Awan and A. Maliha, “Consumer Behavior Towards Islamic Banking in Pakistan,” </w:t>
      </w:r>
      <w:r w:rsidRPr="009932DD">
        <w:rPr>
          <w:i/>
          <w:iCs/>
          <w:noProof/>
          <w:szCs w:val="24"/>
        </w:rPr>
        <w:t>Eur. J. Account. Audit. Financ. Res.</w:t>
      </w:r>
      <w:r w:rsidRPr="009932DD">
        <w:rPr>
          <w:noProof/>
          <w:szCs w:val="24"/>
        </w:rPr>
        <w:t>, vol. 2, no. 9, pp. 42–65, 2014.</w:t>
      </w:r>
    </w:p>
    <w:p w:rsidR="009932DD" w:rsidRPr="009932DD" w:rsidRDefault="009932DD" w:rsidP="009932DD">
      <w:pPr>
        <w:widowControl w:val="0"/>
        <w:autoSpaceDE w:val="0"/>
        <w:autoSpaceDN w:val="0"/>
        <w:adjustRightInd w:val="0"/>
        <w:ind w:left="640" w:hanging="640"/>
        <w:rPr>
          <w:noProof/>
          <w:szCs w:val="24"/>
        </w:rPr>
      </w:pPr>
      <w:r w:rsidRPr="009932DD">
        <w:rPr>
          <w:noProof/>
          <w:szCs w:val="24"/>
        </w:rPr>
        <w:t>[8]</w:t>
      </w:r>
      <w:r w:rsidRPr="009932DD">
        <w:rPr>
          <w:noProof/>
          <w:szCs w:val="24"/>
        </w:rPr>
        <w:tab/>
        <w:t xml:space="preserve">J. Ahmad, “The Role of Public Relations in Promoting Islamic Products Globally: The Malaysian Experience,” </w:t>
      </w:r>
      <w:r w:rsidRPr="009932DD">
        <w:rPr>
          <w:i/>
          <w:iCs/>
          <w:noProof/>
          <w:szCs w:val="24"/>
        </w:rPr>
        <w:t>J. Islam. Stud. Cult.</w:t>
      </w:r>
      <w:r w:rsidRPr="009932DD">
        <w:rPr>
          <w:noProof/>
          <w:szCs w:val="24"/>
        </w:rPr>
        <w:t>, vol. 2, no. 3, pp. 63–81, 2014, doi: 10.15640/jisc.v2n3a4.</w:t>
      </w:r>
    </w:p>
    <w:p w:rsidR="009932DD" w:rsidRPr="009932DD" w:rsidRDefault="009932DD" w:rsidP="009932DD">
      <w:pPr>
        <w:widowControl w:val="0"/>
        <w:autoSpaceDE w:val="0"/>
        <w:autoSpaceDN w:val="0"/>
        <w:adjustRightInd w:val="0"/>
        <w:ind w:left="640" w:hanging="640"/>
        <w:rPr>
          <w:noProof/>
          <w:szCs w:val="24"/>
        </w:rPr>
      </w:pPr>
      <w:r w:rsidRPr="009932DD">
        <w:rPr>
          <w:noProof/>
          <w:szCs w:val="24"/>
        </w:rPr>
        <w:t>[9]</w:t>
      </w:r>
      <w:r w:rsidRPr="009932DD">
        <w:rPr>
          <w:noProof/>
          <w:szCs w:val="24"/>
        </w:rPr>
        <w:tab/>
        <w:t xml:space="preserve">K. L. Keller, “Mastering the Marketing Communications Mix: Micro and Macro Perspectives on Integrated Marketing Communication Programs,” </w:t>
      </w:r>
      <w:r w:rsidRPr="009932DD">
        <w:rPr>
          <w:i/>
          <w:iCs/>
          <w:noProof/>
          <w:szCs w:val="24"/>
        </w:rPr>
        <w:t>J. Mark. Manag.</w:t>
      </w:r>
      <w:r w:rsidRPr="009932DD">
        <w:rPr>
          <w:noProof/>
          <w:szCs w:val="24"/>
        </w:rPr>
        <w:t>, vol. 17, no. 7–8, pp. 819–847, 2001, doi: 10.1362/026725701323366836.</w:t>
      </w:r>
    </w:p>
    <w:p w:rsidR="009932DD" w:rsidRPr="009932DD" w:rsidRDefault="009932DD" w:rsidP="009932DD">
      <w:pPr>
        <w:widowControl w:val="0"/>
        <w:autoSpaceDE w:val="0"/>
        <w:autoSpaceDN w:val="0"/>
        <w:adjustRightInd w:val="0"/>
        <w:ind w:left="640" w:hanging="640"/>
        <w:rPr>
          <w:noProof/>
          <w:szCs w:val="24"/>
        </w:rPr>
      </w:pPr>
      <w:r w:rsidRPr="009932DD">
        <w:rPr>
          <w:noProof/>
          <w:szCs w:val="24"/>
        </w:rPr>
        <w:t>[10]</w:t>
      </w:r>
      <w:r w:rsidRPr="009932DD">
        <w:rPr>
          <w:noProof/>
          <w:szCs w:val="24"/>
        </w:rPr>
        <w:tab/>
        <w:t xml:space="preserve">A. Hassan, A. Chachi, and S. A. Latiff, “Islamic Marketing Ethics and Its Impact on Customer Satisfaction in the Islamic Banking Industry,” </w:t>
      </w:r>
      <w:r w:rsidRPr="009932DD">
        <w:rPr>
          <w:i/>
          <w:iCs/>
          <w:noProof/>
          <w:szCs w:val="24"/>
        </w:rPr>
        <w:t>Islam. Econ</w:t>
      </w:r>
      <w:r w:rsidRPr="009932DD">
        <w:rPr>
          <w:noProof/>
          <w:szCs w:val="24"/>
        </w:rPr>
        <w:t>, vol. 21, no. 1, pp. 22–46, 2008, doi: 10.12816/0019139.</w:t>
      </w:r>
    </w:p>
    <w:p w:rsidR="009932DD" w:rsidRPr="009932DD" w:rsidRDefault="009932DD" w:rsidP="009932DD">
      <w:pPr>
        <w:widowControl w:val="0"/>
        <w:autoSpaceDE w:val="0"/>
        <w:autoSpaceDN w:val="0"/>
        <w:adjustRightInd w:val="0"/>
        <w:ind w:left="640" w:hanging="640"/>
        <w:rPr>
          <w:noProof/>
          <w:szCs w:val="24"/>
        </w:rPr>
      </w:pPr>
      <w:r w:rsidRPr="009932DD">
        <w:rPr>
          <w:noProof/>
          <w:szCs w:val="24"/>
        </w:rPr>
        <w:t>[11]</w:t>
      </w:r>
      <w:r w:rsidRPr="009932DD">
        <w:rPr>
          <w:noProof/>
          <w:szCs w:val="24"/>
        </w:rPr>
        <w:tab/>
        <w:t xml:space="preserve">M. Ahamedullah, “Islamic marketing ethics and its application in Islamic banking industry,” </w:t>
      </w:r>
      <w:r w:rsidRPr="009932DD">
        <w:rPr>
          <w:i/>
          <w:iCs/>
          <w:noProof/>
          <w:szCs w:val="24"/>
        </w:rPr>
        <w:t>Second Int. Symp.</w:t>
      </w:r>
      <w:r w:rsidRPr="009932DD">
        <w:rPr>
          <w:noProof/>
          <w:szCs w:val="24"/>
        </w:rPr>
        <w:t>, pp. 71–78, 2015.</w:t>
      </w:r>
    </w:p>
    <w:p w:rsidR="009932DD" w:rsidRPr="009932DD" w:rsidRDefault="009932DD" w:rsidP="009932DD">
      <w:pPr>
        <w:widowControl w:val="0"/>
        <w:autoSpaceDE w:val="0"/>
        <w:autoSpaceDN w:val="0"/>
        <w:adjustRightInd w:val="0"/>
        <w:ind w:left="640" w:hanging="640"/>
        <w:rPr>
          <w:noProof/>
          <w:szCs w:val="24"/>
        </w:rPr>
      </w:pPr>
      <w:r w:rsidRPr="009932DD">
        <w:rPr>
          <w:noProof/>
          <w:szCs w:val="24"/>
        </w:rPr>
        <w:t>[12]</w:t>
      </w:r>
      <w:r w:rsidRPr="009932DD">
        <w:rPr>
          <w:noProof/>
          <w:szCs w:val="24"/>
        </w:rPr>
        <w:tab/>
        <w:t xml:space="preserve">M. Arham, “Islamic perspectives on marketing,” </w:t>
      </w:r>
      <w:r w:rsidRPr="009932DD">
        <w:rPr>
          <w:i/>
          <w:iCs/>
          <w:noProof/>
          <w:szCs w:val="24"/>
        </w:rPr>
        <w:t>J. Islam. Mark.</w:t>
      </w:r>
      <w:r w:rsidRPr="009932DD">
        <w:rPr>
          <w:noProof/>
          <w:szCs w:val="24"/>
        </w:rPr>
        <w:t>, vol. 1, no. 2, pp. 149–164, 2010, doi: 10.1108/17590831011055888.</w:t>
      </w:r>
    </w:p>
    <w:p w:rsidR="009932DD" w:rsidRPr="009932DD" w:rsidRDefault="009932DD" w:rsidP="009932DD">
      <w:pPr>
        <w:widowControl w:val="0"/>
        <w:autoSpaceDE w:val="0"/>
        <w:autoSpaceDN w:val="0"/>
        <w:adjustRightInd w:val="0"/>
        <w:ind w:left="640" w:hanging="640"/>
        <w:rPr>
          <w:noProof/>
          <w:szCs w:val="24"/>
        </w:rPr>
      </w:pPr>
      <w:r w:rsidRPr="009932DD">
        <w:rPr>
          <w:noProof/>
          <w:szCs w:val="24"/>
        </w:rPr>
        <w:t>[13]</w:t>
      </w:r>
      <w:r w:rsidRPr="009932DD">
        <w:rPr>
          <w:noProof/>
          <w:szCs w:val="24"/>
        </w:rPr>
        <w:tab/>
        <w:t xml:space="preserve">P. Kotler and K. L. Keller, </w:t>
      </w:r>
      <w:r w:rsidRPr="009932DD">
        <w:rPr>
          <w:i/>
          <w:iCs/>
          <w:noProof/>
          <w:szCs w:val="24"/>
        </w:rPr>
        <w:t>Marketing Management" Global Edition</w:t>
      </w:r>
      <w:r w:rsidRPr="009932DD">
        <w:rPr>
          <w:noProof/>
          <w:szCs w:val="24"/>
        </w:rPr>
        <w:t>, 15th ed. England: Pearson Education Limited, 2016.</w:t>
      </w:r>
    </w:p>
    <w:p w:rsidR="009932DD" w:rsidRPr="009932DD" w:rsidRDefault="009932DD" w:rsidP="009932DD">
      <w:pPr>
        <w:widowControl w:val="0"/>
        <w:autoSpaceDE w:val="0"/>
        <w:autoSpaceDN w:val="0"/>
        <w:adjustRightInd w:val="0"/>
        <w:ind w:left="640" w:hanging="640"/>
        <w:rPr>
          <w:noProof/>
          <w:szCs w:val="24"/>
        </w:rPr>
      </w:pPr>
      <w:r w:rsidRPr="009932DD">
        <w:rPr>
          <w:noProof/>
          <w:szCs w:val="24"/>
        </w:rPr>
        <w:t>[14]</w:t>
      </w:r>
      <w:r w:rsidRPr="009932DD">
        <w:rPr>
          <w:noProof/>
          <w:szCs w:val="24"/>
        </w:rPr>
        <w:tab/>
        <w:t>M. Arham, “An Empirical Analysis Of Marketing Activities in Indonesian Islamic Banking Industry,” Durham University, 2012.</w:t>
      </w:r>
    </w:p>
    <w:p w:rsidR="009932DD" w:rsidRPr="009932DD" w:rsidRDefault="009932DD" w:rsidP="009932DD">
      <w:pPr>
        <w:widowControl w:val="0"/>
        <w:autoSpaceDE w:val="0"/>
        <w:autoSpaceDN w:val="0"/>
        <w:adjustRightInd w:val="0"/>
        <w:ind w:left="640" w:hanging="640"/>
        <w:rPr>
          <w:noProof/>
          <w:szCs w:val="24"/>
        </w:rPr>
      </w:pPr>
      <w:r w:rsidRPr="009932DD">
        <w:rPr>
          <w:noProof/>
          <w:szCs w:val="24"/>
        </w:rPr>
        <w:t>[15]</w:t>
      </w:r>
      <w:r w:rsidRPr="009932DD">
        <w:rPr>
          <w:noProof/>
          <w:szCs w:val="24"/>
        </w:rPr>
        <w:tab/>
        <w:t xml:space="preserve">W. D. Hoyer and S. P. Brown, “Effects of Brand Awareness on Choice for a Common, Repeat-Purchase Product,” </w:t>
      </w:r>
      <w:r w:rsidRPr="009932DD">
        <w:rPr>
          <w:i/>
          <w:iCs/>
          <w:noProof/>
          <w:szCs w:val="24"/>
        </w:rPr>
        <w:t>J. Consum. Res.</w:t>
      </w:r>
      <w:r w:rsidRPr="009932DD">
        <w:rPr>
          <w:noProof/>
          <w:szCs w:val="24"/>
        </w:rPr>
        <w:t xml:space="preserve">, vol. 17, no. 2, p. 141, 1990, </w:t>
      </w:r>
      <w:r w:rsidRPr="009932DD">
        <w:rPr>
          <w:noProof/>
          <w:szCs w:val="24"/>
        </w:rPr>
        <w:lastRenderedPageBreak/>
        <w:t>doi: 10.1086/208544.</w:t>
      </w:r>
    </w:p>
    <w:p w:rsidR="009932DD" w:rsidRPr="009932DD" w:rsidRDefault="009932DD" w:rsidP="009932DD">
      <w:pPr>
        <w:widowControl w:val="0"/>
        <w:autoSpaceDE w:val="0"/>
        <w:autoSpaceDN w:val="0"/>
        <w:adjustRightInd w:val="0"/>
        <w:ind w:left="640" w:hanging="640"/>
        <w:rPr>
          <w:noProof/>
          <w:szCs w:val="24"/>
        </w:rPr>
      </w:pPr>
      <w:r w:rsidRPr="009932DD">
        <w:rPr>
          <w:noProof/>
          <w:szCs w:val="24"/>
        </w:rPr>
        <w:t>[16]</w:t>
      </w:r>
      <w:r w:rsidRPr="009932DD">
        <w:rPr>
          <w:noProof/>
          <w:szCs w:val="24"/>
        </w:rPr>
        <w:tab/>
        <w:t xml:space="preserve">R. Pappu, R. W. Cooksey, and P. G. Quester, “Consumer-based brand equity: improving the measurement – empirical evidence,” </w:t>
      </w:r>
      <w:r w:rsidRPr="009932DD">
        <w:rPr>
          <w:i/>
          <w:iCs/>
          <w:noProof/>
          <w:szCs w:val="24"/>
        </w:rPr>
        <w:t>J. Prod. Brand Manag.</w:t>
      </w:r>
      <w:r w:rsidRPr="009932DD">
        <w:rPr>
          <w:noProof/>
          <w:szCs w:val="24"/>
        </w:rPr>
        <w:t>, vol. 14, no. 3, pp. 143–154, 2005, doi: 10.1108/10610420510601012.</w:t>
      </w:r>
    </w:p>
    <w:p w:rsidR="009932DD" w:rsidRPr="009932DD" w:rsidRDefault="009932DD" w:rsidP="009932DD">
      <w:pPr>
        <w:widowControl w:val="0"/>
        <w:autoSpaceDE w:val="0"/>
        <w:autoSpaceDN w:val="0"/>
        <w:adjustRightInd w:val="0"/>
        <w:ind w:left="640" w:hanging="640"/>
        <w:rPr>
          <w:noProof/>
          <w:szCs w:val="24"/>
        </w:rPr>
      </w:pPr>
      <w:r w:rsidRPr="009932DD">
        <w:rPr>
          <w:noProof/>
          <w:szCs w:val="24"/>
        </w:rPr>
        <w:t>[17]</w:t>
      </w:r>
      <w:r w:rsidRPr="009932DD">
        <w:rPr>
          <w:noProof/>
          <w:szCs w:val="24"/>
        </w:rPr>
        <w:tab/>
        <w:t xml:space="preserve">J. Sasmita and N. M. Suki, “Young consumers’ insights on brand equity: Effects of brand association, brand loyalty, brand awareness, and brand image,” </w:t>
      </w:r>
      <w:r w:rsidRPr="009932DD">
        <w:rPr>
          <w:i/>
          <w:iCs/>
          <w:noProof/>
          <w:szCs w:val="24"/>
        </w:rPr>
        <w:t>Int. J. Retail Distrib. Manag.</w:t>
      </w:r>
      <w:r w:rsidRPr="009932DD">
        <w:rPr>
          <w:noProof/>
          <w:szCs w:val="24"/>
        </w:rPr>
        <w:t>, vol. 43, no. 3, pp. 276–292, 2015.</w:t>
      </w:r>
    </w:p>
    <w:p w:rsidR="009932DD" w:rsidRPr="009932DD" w:rsidRDefault="009932DD" w:rsidP="009932DD">
      <w:pPr>
        <w:widowControl w:val="0"/>
        <w:autoSpaceDE w:val="0"/>
        <w:autoSpaceDN w:val="0"/>
        <w:adjustRightInd w:val="0"/>
        <w:ind w:left="640" w:hanging="640"/>
        <w:rPr>
          <w:noProof/>
          <w:szCs w:val="24"/>
        </w:rPr>
      </w:pPr>
      <w:r w:rsidRPr="009932DD">
        <w:rPr>
          <w:noProof/>
          <w:szCs w:val="24"/>
        </w:rPr>
        <w:t>[18]</w:t>
      </w:r>
      <w:r w:rsidRPr="009932DD">
        <w:rPr>
          <w:noProof/>
          <w:szCs w:val="24"/>
        </w:rPr>
        <w:tab/>
        <w:t xml:space="preserve">L. Percy and J. R. Rossiter, “A model of brand awareness and brand attitude advertising strategies,” </w:t>
      </w:r>
      <w:r w:rsidRPr="009932DD">
        <w:rPr>
          <w:i/>
          <w:iCs/>
          <w:noProof/>
          <w:szCs w:val="24"/>
        </w:rPr>
        <w:t>Psychol. Mark.</w:t>
      </w:r>
      <w:r w:rsidRPr="009932DD">
        <w:rPr>
          <w:noProof/>
          <w:szCs w:val="24"/>
        </w:rPr>
        <w:t>, vol. 9, no. 4, pp. 263–274, 1992, doi: 10.1002/mar.4220090402.</w:t>
      </w:r>
    </w:p>
    <w:p w:rsidR="009932DD" w:rsidRPr="009932DD" w:rsidRDefault="009932DD" w:rsidP="009932DD">
      <w:pPr>
        <w:widowControl w:val="0"/>
        <w:autoSpaceDE w:val="0"/>
        <w:autoSpaceDN w:val="0"/>
        <w:adjustRightInd w:val="0"/>
        <w:ind w:left="640" w:hanging="640"/>
        <w:rPr>
          <w:noProof/>
          <w:szCs w:val="24"/>
        </w:rPr>
      </w:pPr>
      <w:r w:rsidRPr="009932DD">
        <w:rPr>
          <w:noProof/>
          <w:szCs w:val="24"/>
        </w:rPr>
        <w:t>[19]</w:t>
      </w:r>
      <w:r w:rsidRPr="009932DD">
        <w:rPr>
          <w:noProof/>
          <w:szCs w:val="24"/>
        </w:rPr>
        <w:tab/>
        <w:t xml:space="preserve">K. L. Keller, </w:t>
      </w:r>
      <w:r w:rsidRPr="009932DD">
        <w:rPr>
          <w:i/>
          <w:iCs/>
          <w:noProof/>
          <w:szCs w:val="24"/>
        </w:rPr>
        <w:t>Strategic brand management: Building, Measuring, and Managing Brand Equity</w:t>
      </w:r>
      <w:r w:rsidRPr="009932DD">
        <w:rPr>
          <w:noProof/>
          <w:szCs w:val="24"/>
        </w:rPr>
        <w:t>, 4 th Globa. Pearson, 2013.</w:t>
      </w:r>
    </w:p>
    <w:p w:rsidR="009932DD" w:rsidRPr="009932DD" w:rsidRDefault="009932DD" w:rsidP="009932DD">
      <w:pPr>
        <w:widowControl w:val="0"/>
        <w:autoSpaceDE w:val="0"/>
        <w:autoSpaceDN w:val="0"/>
        <w:adjustRightInd w:val="0"/>
        <w:ind w:left="640" w:hanging="640"/>
        <w:rPr>
          <w:noProof/>
          <w:szCs w:val="24"/>
        </w:rPr>
      </w:pPr>
      <w:r w:rsidRPr="009932DD">
        <w:rPr>
          <w:noProof/>
          <w:szCs w:val="24"/>
        </w:rPr>
        <w:t>[20]</w:t>
      </w:r>
      <w:r w:rsidRPr="009932DD">
        <w:rPr>
          <w:noProof/>
          <w:szCs w:val="24"/>
        </w:rPr>
        <w:tab/>
        <w:t xml:space="preserve">Y.-H. Wang and C.-F. Tsai, “The Relationship between Brand Image and Purchase Intention: Evidence from Award Winning Mutual Funds,” </w:t>
      </w:r>
      <w:r w:rsidRPr="009932DD">
        <w:rPr>
          <w:i/>
          <w:iCs/>
          <w:noProof/>
          <w:szCs w:val="24"/>
        </w:rPr>
        <w:t>Int. J. Bus. Financ. Res.</w:t>
      </w:r>
      <w:r w:rsidRPr="009932DD">
        <w:rPr>
          <w:noProof/>
          <w:szCs w:val="24"/>
        </w:rPr>
        <w:t>, vol. 8, no. 2, pp. 27–40, 2014, doi: 10.1016/s0262-1762(00)90203-7.</w:t>
      </w:r>
    </w:p>
    <w:p w:rsidR="009932DD" w:rsidRPr="009932DD" w:rsidRDefault="009932DD" w:rsidP="009932DD">
      <w:pPr>
        <w:widowControl w:val="0"/>
        <w:autoSpaceDE w:val="0"/>
        <w:autoSpaceDN w:val="0"/>
        <w:adjustRightInd w:val="0"/>
        <w:ind w:left="640" w:hanging="640"/>
        <w:rPr>
          <w:noProof/>
          <w:szCs w:val="24"/>
        </w:rPr>
      </w:pPr>
      <w:r w:rsidRPr="009932DD">
        <w:rPr>
          <w:noProof/>
          <w:szCs w:val="24"/>
        </w:rPr>
        <w:t>[21]</w:t>
      </w:r>
      <w:r w:rsidRPr="009932DD">
        <w:rPr>
          <w:noProof/>
          <w:szCs w:val="24"/>
        </w:rPr>
        <w:tab/>
        <w:t xml:space="preserve">J. R. Smith, D. J. Terry, W. R. Louis, and D. Kotterman, “The Attitude – Behavior Relationship in Consumer Conduct : The Role of Norms , Past Behavior , and Self-Identity,” </w:t>
      </w:r>
      <w:r w:rsidRPr="009932DD">
        <w:rPr>
          <w:i/>
          <w:iCs/>
          <w:noProof/>
          <w:szCs w:val="24"/>
        </w:rPr>
        <w:t>J. Soc. Psychol.</w:t>
      </w:r>
      <w:r w:rsidRPr="009932DD">
        <w:rPr>
          <w:noProof/>
          <w:szCs w:val="24"/>
        </w:rPr>
        <w:t>, vol. 148, no. 3, pp. 311–333, 2008.</w:t>
      </w:r>
    </w:p>
    <w:p w:rsidR="009932DD" w:rsidRPr="009932DD" w:rsidRDefault="009932DD" w:rsidP="009932DD">
      <w:pPr>
        <w:widowControl w:val="0"/>
        <w:autoSpaceDE w:val="0"/>
        <w:autoSpaceDN w:val="0"/>
        <w:adjustRightInd w:val="0"/>
        <w:ind w:left="640" w:hanging="640"/>
        <w:rPr>
          <w:noProof/>
          <w:szCs w:val="24"/>
        </w:rPr>
      </w:pPr>
      <w:r w:rsidRPr="009932DD">
        <w:rPr>
          <w:noProof/>
          <w:szCs w:val="24"/>
        </w:rPr>
        <w:t>[22]</w:t>
      </w:r>
      <w:r w:rsidRPr="009932DD">
        <w:rPr>
          <w:noProof/>
          <w:szCs w:val="24"/>
        </w:rPr>
        <w:tab/>
        <w:t xml:space="preserve">K. Hutter, J. Hautz, S. Dennhardt, and J. Füller, “The impact of user interactions in social media on brand awareness and purchase intention: The case of MINI on Facebook,” </w:t>
      </w:r>
      <w:r w:rsidRPr="009932DD">
        <w:rPr>
          <w:i/>
          <w:iCs/>
          <w:noProof/>
          <w:szCs w:val="24"/>
        </w:rPr>
        <w:t>J. Prod. Brand Manag.</w:t>
      </w:r>
      <w:r w:rsidRPr="009932DD">
        <w:rPr>
          <w:noProof/>
          <w:szCs w:val="24"/>
        </w:rPr>
        <w:t>, vol. 22, no. 5, pp. 342–351, 2013, doi: 10.1108/JPBM-05-2013-0299.</w:t>
      </w:r>
    </w:p>
    <w:p w:rsidR="009932DD" w:rsidRPr="009932DD" w:rsidRDefault="009932DD" w:rsidP="009932DD">
      <w:pPr>
        <w:widowControl w:val="0"/>
        <w:autoSpaceDE w:val="0"/>
        <w:autoSpaceDN w:val="0"/>
        <w:adjustRightInd w:val="0"/>
        <w:ind w:left="640" w:hanging="640"/>
        <w:rPr>
          <w:noProof/>
          <w:szCs w:val="24"/>
        </w:rPr>
      </w:pPr>
      <w:r w:rsidRPr="009932DD">
        <w:rPr>
          <w:noProof/>
          <w:szCs w:val="24"/>
        </w:rPr>
        <w:t>[23]</w:t>
      </w:r>
      <w:r w:rsidRPr="009932DD">
        <w:rPr>
          <w:noProof/>
          <w:szCs w:val="24"/>
        </w:rPr>
        <w:tab/>
        <w:t xml:space="preserve">D. Howard and T. Barry, “A review and critique of the hierarchy of effects in advertising,” </w:t>
      </w:r>
      <w:r w:rsidRPr="009932DD">
        <w:rPr>
          <w:i/>
          <w:iCs/>
          <w:noProof/>
          <w:szCs w:val="24"/>
        </w:rPr>
        <w:t>Int. J. Advert.</w:t>
      </w:r>
      <w:r w:rsidRPr="009932DD">
        <w:rPr>
          <w:noProof/>
          <w:szCs w:val="24"/>
        </w:rPr>
        <w:t>, vol. 9, no. 2, pp. 121–135, 1990, [Online]. Available: http://dx.doi.org/10.1080/02650487.1990.11107138.</w:t>
      </w:r>
    </w:p>
    <w:p w:rsidR="009932DD" w:rsidRPr="009932DD" w:rsidRDefault="009932DD" w:rsidP="009932DD">
      <w:pPr>
        <w:widowControl w:val="0"/>
        <w:autoSpaceDE w:val="0"/>
        <w:autoSpaceDN w:val="0"/>
        <w:adjustRightInd w:val="0"/>
        <w:ind w:left="640" w:hanging="640"/>
        <w:rPr>
          <w:noProof/>
          <w:szCs w:val="24"/>
        </w:rPr>
      </w:pPr>
      <w:r w:rsidRPr="009932DD">
        <w:rPr>
          <w:noProof/>
          <w:szCs w:val="24"/>
        </w:rPr>
        <w:t>[24]</w:t>
      </w:r>
      <w:r w:rsidRPr="009932DD">
        <w:rPr>
          <w:noProof/>
          <w:szCs w:val="24"/>
        </w:rPr>
        <w:tab/>
        <w:t xml:space="preserve">J. F. Hair, W. C. Black, B. J. Babin, and R. E. Anderson, </w:t>
      </w:r>
      <w:r w:rsidRPr="009932DD">
        <w:rPr>
          <w:i/>
          <w:iCs/>
          <w:noProof/>
          <w:szCs w:val="24"/>
        </w:rPr>
        <w:t>Multivariate data analysis</w:t>
      </w:r>
      <w:r w:rsidRPr="009932DD">
        <w:rPr>
          <w:noProof/>
          <w:szCs w:val="24"/>
        </w:rPr>
        <w:t>, Seventh ed. New York: Pearson, 2010.</w:t>
      </w:r>
    </w:p>
    <w:p w:rsidR="009932DD" w:rsidRPr="009932DD" w:rsidRDefault="009932DD" w:rsidP="009932DD">
      <w:pPr>
        <w:widowControl w:val="0"/>
        <w:autoSpaceDE w:val="0"/>
        <w:autoSpaceDN w:val="0"/>
        <w:adjustRightInd w:val="0"/>
        <w:ind w:left="640" w:hanging="640"/>
        <w:rPr>
          <w:noProof/>
          <w:szCs w:val="24"/>
        </w:rPr>
      </w:pPr>
      <w:r w:rsidRPr="009932DD">
        <w:rPr>
          <w:noProof/>
          <w:szCs w:val="24"/>
        </w:rPr>
        <w:t>[25]</w:t>
      </w:r>
      <w:r w:rsidRPr="009932DD">
        <w:rPr>
          <w:noProof/>
          <w:szCs w:val="24"/>
        </w:rPr>
        <w:tab/>
        <w:t xml:space="preserve">P. Gerrard and J. Barton Cunningham, “Singapore’s undergraduates: How they choose which bank to patronise,” </w:t>
      </w:r>
      <w:r w:rsidRPr="009932DD">
        <w:rPr>
          <w:i/>
          <w:iCs/>
          <w:noProof/>
          <w:szCs w:val="24"/>
        </w:rPr>
        <w:t>Int. J. Bank Mark.</w:t>
      </w:r>
      <w:r w:rsidRPr="009932DD">
        <w:rPr>
          <w:noProof/>
          <w:szCs w:val="24"/>
        </w:rPr>
        <w:t>, vol. 19, no. 3, pp. 104–114, 2001, doi: 10.1108/02652320110388531.</w:t>
      </w:r>
    </w:p>
    <w:p w:rsidR="009932DD" w:rsidRPr="009932DD" w:rsidRDefault="009932DD" w:rsidP="009932DD">
      <w:pPr>
        <w:widowControl w:val="0"/>
        <w:autoSpaceDE w:val="0"/>
        <w:autoSpaceDN w:val="0"/>
        <w:adjustRightInd w:val="0"/>
        <w:ind w:left="640" w:hanging="640"/>
        <w:rPr>
          <w:noProof/>
          <w:szCs w:val="24"/>
        </w:rPr>
      </w:pPr>
      <w:r w:rsidRPr="009932DD">
        <w:rPr>
          <w:noProof/>
          <w:szCs w:val="24"/>
        </w:rPr>
        <w:t>[26]</w:t>
      </w:r>
      <w:r w:rsidRPr="009932DD">
        <w:rPr>
          <w:noProof/>
          <w:szCs w:val="24"/>
        </w:rPr>
        <w:tab/>
        <w:t xml:space="preserve">P. J. Peter and J. C. Olson, </w:t>
      </w:r>
      <w:r w:rsidRPr="009932DD">
        <w:rPr>
          <w:i/>
          <w:iCs/>
          <w:noProof/>
          <w:szCs w:val="24"/>
        </w:rPr>
        <w:t>Consumer Behavior Marketing Strategy</w:t>
      </w:r>
      <w:r w:rsidRPr="009932DD">
        <w:rPr>
          <w:noProof/>
          <w:szCs w:val="24"/>
        </w:rPr>
        <w:t>, Ninth edit. New York, USA: McGraw-Hill, 2010.</w:t>
      </w:r>
    </w:p>
    <w:p w:rsidR="009932DD" w:rsidRPr="009932DD" w:rsidRDefault="009932DD" w:rsidP="009932DD">
      <w:pPr>
        <w:widowControl w:val="0"/>
        <w:autoSpaceDE w:val="0"/>
        <w:autoSpaceDN w:val="0"/>
        <w:adjustRightInd w:val="0"/>
        <w:ind w:left="640" w:hanging="640"/>
        <w:rPr>
          <w:noProof/>
          <w:szCs w:val="24"/>
        </w:rPr>
      </w:pPr>
      <w:r w:rsidRPr="009932DD">
        <w:rPr>
          <w:noProof/>
          <w:szCs w:val="24"/>
        </w:rPr>
        <w:t>[27]</w:t>
      </w:r>
      <w:r w:rsidRPr="009932DD">
        <w:rPr>
          <w:noProof/>
          <w:szCs w:val="24"/>
        </w:rPr>
        <w:tab/>
        <w:t xml:space="preserve">S. A. Hakim, I. Al-jubari, and O. K. Bhatti, “Advertising of islamic banking products,” </w:t>
      </w:r>
      <w:r w:rsidRPr="009932DD">
        <w:rPr>
          <w:i/>
          <w:iCs/>
          <w:noProof/>
          <w:szCs w:val="24"/>
        </w:rPr>
        <w:t>Advert. Islam. Bank. Prod.</w:t>
      </w:r>
      <w:r w:rsidRPr="009932DD">
        <w:rPr>
          <w:noProof/>
          <w:szCs w:val="24"/>
        </w:rPr>
        <w:t>, vol. 1, no. 2, pp. 60–70, 2011.</w:t>
      </w:r>
    </w:p>
    <w:p w:rsidR="009932DD" w:rsidRPr="009932DD" w:rsidRDefault="009932DD" w:rsidP="009932DD">
      <w:pPr>
        <w:widowControl w:val="0"/>
        <w:autoSpaceDE w:val="0"/>
        <w:autoSpaceDN w:val="0"/>
        <w:adjustRightInd w:val="0"/>
        <w:ind w:left="640" w:hanging="640"/>
        <w:rPr>
          <w:noProof/>
          <w:szCs w:val="24"/>
        </w:rPr>
      </w:pPr>
      <w:r w:rsidRPr="009932DD">
        <w:rPr>
          <w:noProof/>
          <w:szCs w:val="24"/>
        </w:rPr>
        <w:t>[28]</w:t>
      </w:r>
      <w:r w:rsidRPr="009932DD">
        <w:rPr>
          <w:noProof/>
          <w:szCs w:val="24"/>
        </w:rPr>
        <w:tab/>
        <w:t xml:space="preserve">P. Gerrard and J. Barton Cunningham, “Islamic banking: A study in Singapore,” </w:t>
      </w:r>
      <w:r w:rsidRPr="009932DD">
        <w:rPr>
          <w:i/>
          <w:iCs/>
          <w:noProof/>
          <w:szCs w:val="24"/>
        </w:rPr>
        <w:t>Int. J. Bank Mark.</w:t>
      </w:r>
      <w:r w:rsidRPr="009932DD">
        <w:rPr>
          <w:noProof/>
          <w:szCs w:val="24"/>
        </w:rPr>
        <w:t>, vol. 15, no. 6, pp. 204–216, 1997, doi: 10.1108/02652329710184433.</w:t>
      </w:r>
    </w:p>
    <w:p w:rsidR="009932DD" w:rsidRPr="009932DD" w:rsidRDefault="009932DD" w:rsidP="009932DD">
      <w:pPr>
        <w:widowControl w:val="0"/>
        <w:autoSpaceDE w:val="0"/>
        <w:autoSpaceDN w:val="0"/>
        <w:adjustRightInd w:val="0"/>
        <w:ind w:left="640" w:hanging="640"/>
        <w:rPr>
          <w:noProof/>
          <w:szCs w:val="24"/>
        </w:rPr>
      </w:pPr>
      <w:r w:rsidRPr="009932DD">
        <w:rPr>
          <w:noProof/>
          <w:szCs w:val="24"/>
        </w:rPr>
        <w:t>[29]</w:t>
      </w:r>
      <w:r w:rsidRPr="009932DD">
        <w:rPr>
          <w:noProof/>
          <w:szCs w:val="24"/>
        </w:rPr>
        <w:tab/>
        <w:t xml:space="preserve">P. A. Fadahunsi and D. S. Kargwell, “Social Media, Consumer Behavior and Marketing Strategy: Implications of ‘Halal’ on Islamic Marketing Operations,” </w:t>
      </w:r>
      <w:r w:rsidRPr="009932DD">
        <w:rPr>
          <w:i/>
          <w:iCs/>
          <w:noProof/>
          <w:szCs w:val="24"/>
        </w:rPr>
        <w:t>J. Small Bus. Entrep. Dev.</w:t>
      </w:r>
      <w:r w:rsidRPr="009932DD">
        <w:rPr>
          <w:noProof/>
          <w:szCs w:val="24"/>
        </w:rPr>
        <w:t>, vol. 3, no. 1, pp. 36–43, 2015, doi: 10.15640/jsbed.v3n1a4.</w:t>
      </w:r>
    </w:p>
    <w:p w:rsidR="009932DD" w:rsidRPr="009932DD" w:rsidRDefault="009932DD" w:rsidP="009932DD">
      <w:pPr>
        <w:widowControl w:val="0"/>
        <w:autoSpaceDE w:val="0"/>
        <w:autoSpaceDN w:val="0"/>
        <w:adjustRightInd w:val="0"/>
        <w:ind w:left="640" w:hanging="640"/>
        <w:rPr>
          <w:noProof/>
        </w:rPr>
      </w:pPr>
      <w:r w:rsidRPr="009932DD">
        <w:rPr>
          <w:noProof/>
          <w:szCs w:val="24"/>
        </w:rPr>
        <w:t>[30]</w:t>
      </w:r>
      <w:r w:rsidRPr="009932DD">
        <w:rPr>
          <w:noProof/>
          <w:szCs w:val="24"/>
        </w:rPr>
        <w:tab/>
        <w:t xml:space="preserve">A. H. A. Hamid and N. A. M. Nordin, “A Study on Islamica Banking Education and Strategy for The New Millenium - Malaysian Experiance,” </w:t>
      </w:r>
      <w:r w:rsidRPr="009932DD">
        <w:rPr>
          <w:i/>
          <w:iCs/>
          <w:noProof/>
          <w:szCs w:val="24"/>
        </w:rPr>
        <w:t>Int. J. Islam. Financ. Serv.</w:t>
      </w:r>
      <w:r w:rsidRPr="009932DD">
        <w:rPr>
          <w:noProof/>
          <w:szCs w:val="24"/>
        </w:rPr>
        <w:t>, vol. 2, no. 4, pp. 1–10, 2001.</w:t>
      </w:r>
    </w:p>
    <w:p w:rsidR="009346D5" w:rsidRDefault="009346D5" w:rsidP="00393765">
      <w:pPr>
        <w:tabs>
          <w:tab w:val="left" w:pos="709"/>
        </w:tabs>
        <w:jc w:val="both"/>
      </w:pPr>
      <w:r>
        <w:fldChar w:fldCharType="end"/>
      </w:r>
    </w:p>
    <w:p w:rsidR="009346D5" w:rsidRDefault="009346D5" w:rsidP="006F24DF">
      <w:pPr>
        <w:tabs>
          <w:tab w:val="left" w:pos="709"/>
        </w:tabs>
        <w:ind w:left="227"/>
        <w:jc w:val="both"/>
      </w:pPr>
    </w:p>
    <w:sectPr w:rsidR="009346D5">
      <w:footerReference w:type="default" r:id="rId8"/>
      <w:pgSz w:w="11907" w:h="16840"/>
      <w:pgMar w:top="2835" w:right="2155" w:bottom="2835" w:left="2155"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328" w:rsidRDefault="00403328">
      <w:r>
        <w:separator/>
      </w:r>
    </w:p>
  </w:endnote>
  <w:endnote w:type="continuationSeparator" w:id="0">
    <w:p w:rsidR="00403328" w:rsidRDefault="00403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ungsuh">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D2A" w:rsidRDefault="00850D2A">
    <w:pPr>
      <w:jc w:val="both"/>
    </w:pPr>
  </w:p>
  <w:p w:rsidR="00850D2A" w:rsidRDefault="00850D2A">
    <w:pPr>
      <w:jc w:val="both"/>
    </w:pPr>
  </w:p>
  <w:p w:rsidR="00850D2A" w:rsidRDefault="00850D2A">
    <w:pPr>
      <w:jc w:val="both"/>
    </w:pPr>
  </w:p>
  <w:p w:rsidR="00850D2A" w:rsidRDefault="00850D2A">
    <w:pP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328" w:rsidRDefault="00403328">
      <w:r>
        <w:separator/>
      </w:r>
    </w:p>
  </w:footnote>
  <w:footnote w:type="continuationSeparator" w:id="0">
    <w:p w:rsidR="00403328" w:rsidRDefault="004033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3A3AF7"/>
    <w:multiLevelType w:val="hybridMultilevel"/>
    <w:tmpl w:val="77522AA6"/>
    <w:lvl w:ilvl="0" w:tplc="4BF0CEA8">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A5F0F6A"/>
    <w:multiLevelType w:val="hybridMultilevel"/>
    <w:tmpl w:val="2E1AED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D2A"/>
    <w:rsid w:val="0009000A"/>
    <w:rsid w:val="00393765"/>
    <w:rsid w:val="00403328"/>
    <w:rsid w:val="005362EC"/>
    <w:rsid w:val="005C6E18"/>
    <w:rsid w:val="006F24DF"/>
    <w:rsid w:val="007014C7"/>
    <w:rsid w:val="0071293C"/>
    <w:rsid w:val="00814E3D"/>
    <w:rsid w:val="00850D2A"/>
    <w:rsid w:val="009346D5"/>
    <w:rsid w:val="009932DD"/>
    <w:rsid w:val="00AC23C6"/>
    <w:rsid w:val="00B94194"/>
    <w:rsid w:val="00DB1262"/>
    <w:rsid w:val="00DF3D8E"/>
    <w:rsid w:val="00EF6857"/>
    <w:rsid w:val="00FA5DA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196B7B-FC25-4966-B3DF-0AF3D5EA7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70" w:type="dxa"/>
        <w:bottom w:w="0" w:type="dxa"/>
        <w:right w:w="70" w:type="dxa"/>
      </w:tblCellMar>
    </w:tblPr>
  </w:style>
  <w:style w:type="character" w:styleId="Hyperlink">
    <w:name w:val="Hyperlink"/>
    <w:basedOn w:val="DefaultParagraphFont"/>
    <w:uiPriority w:val="99"/>
    <w:unhideWhenUsed/>
    <w:rsid w:val="005362EC"/>
    <w:rPr>
      <w:color w:val="0000FF" w:themeColor="hyperlink"/>
      <w:u w:val="single"/>
    </w:rPr>
  </w:style>
  <w:style w:type="paragraph" w:styleId="ListParagraph">
    <w:name w:val="List Paragraph"/>
    <w:basedOn w:val="Normal"/>
    <w:uiPriority w:val="34"/>
    <w:qFormat/>
    <w:rsid w:val="005362EC"/>
    <w:pPr>
      <w:spacing w:after="160" w:line="259" w:lineRule="auto"/>
      <w:ind w:left="720"/>
      <w:contextualSpacing/>
    </w:pPr>
    <w:rPr>
      <w:rFonts w:asciiTheme="minorHAnsi" w:eastAsiaTheme="minorHAnsi" w:hAnsiTheme="minorHAnsi" w:cstheme="minorBidi"/>
      <w:sz w:val="22"/>
      <w:szCs w:val="22"/>
      <w:lang w:val="en-US" w:eastAsia="en-US"/>
    </w:rPr>
  </w:style>
  <w:style w:type="paragraph" w:styleId="Header">
    <w:name w:val="header"/>
    <w:basedOn w:val="Normal"/>
    <w:link w:val="HeaderChar"/>
    <w:uiPriority w:val="99"/>
    <w:unhideWhenUsed/>
    <w:rsid w:val="0009000A"/>
    <w:pPr>
      <w:tabs>
        <w:tab w:val="center" w:pos="4513"/>
        <w:tab w:val="right" w:pos="9026"/>
      </w:tabs>
    </w:pPr>
  </w:style>
  <w:style w:type="character" w:customStyle="1" w:styleId="HeaderChar">
    <w:name w:val="Header Char"/>
    <w:basedOn w:val="DefaultParagraphFont"/>
    <w:link w:val="Header"/>
    <w:uiPriority w:val="99"/>
    <w:rsid w:val="0009000A"/>
  </w:style>
  <w:style w:type="paragraph" w:styleId="Footer">
    <w:name w:val="footer"/>
    <w:basedOn w:val="Normal"/>
    <w:link w:val="FooterChar"/>
    <w:uiPriority w:val="99"/>
    <w:unhideWhenUsed/>
    <w:rsid w:val="0009000A"/>
    <w:pPr>
      <w:tabs>
        <w:tab w:val="center" w:pos="4513"/>
        <w:tab w:val="right" w:pos="9026"/>
      </w:tabs>
    </w:pPr>
  </w:style>
  <w:style w:type="character" w:customStyle="1" w:styleId="FooterChar">
    <w:name w:val="Footer Char"/>
    <w:basedOn w:val="DefaultParagraphFont"/>
    <w:link w:val="Footer"/>
    <w:uiPriority w:val="99"/>
    <w:rsid w:val="00090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906B0B82-C6C7-4898-AAB7-00B82D71D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7</Pages>
  <Words>15607</Words>
  <Characters>88965</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Roslina</dc:creator>
  <cp:lastModifiedBy>Roslina</cp:lastModifiedBy>
  <cp:revision>8</cp:revision>
  <dcterms:created xsi:type="dcterms:W3CDTF">2020-10-22T14:59:00Z</dcterms:created>
  <dcterms:modified xsi:type="dcterms:W3CDTF">2020-10-22T16:45:00Z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2e470612-d194-307d-943e-2ead9dd6c844</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