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rPr>
          <w:b/>
          <w:color w:val="000000"/>
          <w:sz w:val="32"/>
          <w:szCs w:val="32"/>
        </w:rPr>
      </w:pPr>
      <w:r>
        <w:rPr>
          <w:b/>
          <w:color w:val="000000"/>
          <w:sz w:val="32"/>
          <w:szCs w:val="32"/>
        </w:rPr>
        <w:t>THE EFFECT OF INVESTOR SENTIMENTS AND NEWS ON INITIAL PUBLIC OFFERINGS IN SOCIAL MEDIA</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E. Hendrawaty, Yuliansyah &amp; E. Pranyoto</w:t>
      </w:r>
    </w:p>
    <w:p>
      <w:pPr>
        <w:pBdr>
          <w:top w:val="none" w:color="auto" w:sz="0" w:space="0"/>
          <w:left w:val="none" w:color="auto" w:sz="0" w:space="0"/>
          <w:bottom w:val="none" w:color="auto" w:sz="0" w:space="0"/>
          <w:right w:val="none" w:color="auto" w:sz="0" w:space="0"/>
          <w:between w:val="none" w:color="auto" w:sz="0" w:space="0"/>
        </w:pBdr>
        <w:spacing w:after="120"/>
        <w:jc w:val="both"/>
        <w:rPr>
          <w:i/>
          <w:color w:val="000000"/>
        </w:rPr>
      </w:pPr>
      <w:r>
        <w:rPr>
          <w:i/>
          <w:color w:val="000000"/>
        </w:rPr>
        <w:t>University of Lampung Faculty of Economics and Business</w:t>
      </w:r>
    </w:p>
    <w:p>
      <w:pPr>
        <w:spacing w:after="480"/>
        <w:jc w:val="both"/>
        <w:rPr>
          <w:color w:val="000000"/>
          <w:sz w:val="22"/>
          <w:szCs w:val="22"/>
        </w:rPr>
      </w:pPr>
      <w:bookmarkStart w:id="3" w:name="_GoBack"/>
      <w:bookmarkEnd w:id="3"/>
    </w:p>
    <w:p>
      <w:pPr>
        <w:spacing w:after="480"/>
        <w:jc w:val="both"/>
        <w:rPr>
          <w:color w:val="000000"/>
          <w:sz w:val="22"/>
          <w:szCs w:val="22"/>
        </w:rPr>
      </w:pPr>
      <w:r>
        <w:rPr>
          <w:b/>
          <w:bCs/>
          <w:color w:val="000000"/>
          <w:sz w:val="22"/>
          <w:szCs w:val="22"/>
        </w:rPr>
        <w:t>ABSTRACT</w:t>
      </w:r>
      <w:r>
        <w:rPr>
          <w:color w:val="000000"/>
          <w:sz w:val="22"/>
          <w:szCs w:val="22"/>
        </w:rPr>
        <w:t xml:space="preserve">: Social media has provided the opportunity for companies to build self-image and also to stimulate significant attention and positive emotional responses to a passive participant. This practice is characterized by communication, comments, mention, reactions towards information and expression of sentiments, hence, an increase in the number of companies with public interest and media coverage has a direct influence on the investors. The purpose of this study, therefore, is to determine the effect of social media on investor sentiment in the Indonesian capital market in order to obtain an overview to follow the market and predict future </w:t>
      </w:r>
      <w:r>
        <w:rPr>
          <w:i/>
          <w:color w:val="000000"/>
          <w:sz w:val="22"/>
          <w:szCs w:val="22"/>
        </w:rPr>
        <w:t xml:space="preserve">returns </w:t>
      </w:r>
      <w:r>
        <w:rPr>
          <w:color w:val="000000"/>
          <w:sz w:val="22"/>
          <w:szCs w:val="22"/>
        </w:rPr>
        <w:t xml:space="preserve">stock and trade volumes. The results showed that the neutral sentiment does not affect the stock trading volume, which was the inverse for the negative and positive sentiments, although they collectively had no effect on </w:t>
      </w:r>
      <w:r>
        <w:rPr>
          <w:i/>
          <w:color w:val="000000"/>
          <w:sz w:val="22"/>
          <w:szCs w:val="22"/>
        </w:rPr>
        <w:t xml:space="preserve">returns </w:t>
      </w:r>
      <w:r>
        <w:rPr>
          <w:color w:val="000000"/>
          <w:sz w:val="22"/>
          <w:szCs w:val="22"/>
        </w:rPr>
        <w:t>stock on Instagram.</w:t>
      </w:r>
    </w:p>
    <w:p>
      <w:pPr>
        <w:ind w:firstLine="227"/>
        <w:jc w:val="both"/>
        <w:rPr>
          <w:color w:val="000000"/>
          <w:sz w:val="22"/>
          <w:szCs w:val="22"/>
        </w:rPr>
        <w:sectPr>
          <w:pgSz w:w="11907" w:h="16840"/>
          <w:pgMar w:top="1418" w:right="1701" w:bottom="1701" w:left="1701" w:header="0" w:footer="0" w:gutter="0"/>
          <w:pgNumType w:start="1"/>
          <w:cols w:equalWidth="0" w:num="1">
            <w:col w:w="9360"/>
          </w:cols>
        </w:sectPr>
      </w:pPr>
    </w:p>
    <w:p>
      <w:pPr>
        <w:keepNext/>
        <w:keepLines/>
        <w:numPr>
          <w:ilvl w:val="0"/>
          <w:numId w:val="1"/>
        </w:numPr>
        <w:ind w:left="360"/>
        <w:rPr>
          <w:smallCaps/>
          <w:color w:val="000000"/>
          <w:sz w:val="22"/>
          <w:szCs w:val="22"/>
        </w:rPr>
      </w:pPr>
      <w:r>
        <w:rPr>
          <w:b/>
          <w:smallCaps/>
          <w:color w:val="000000"/>
          <w:sz w:val="22"/>
          <w:szCs w:val="22"/>
        </w:rPr>
        <w:t>INTRODUCTION</w:t>
      </w:r>
    </w:p>
    <w:p>
      <w:pPr>
        <w:ind w:firstLine="420"/>
        <w:jc w:val="both"/>
        <w:rPr>
          <w:color w:val="000000"/>
          <w:sz w:val="22"/>
          <w:szCs w:val="22"/>
        </w:rPr>
      </w:pPr>
      <w:r>
        <w:rPr>
          <w:color w:val="000000"/>
          <w:sz w:val="22"/>
          <w:szCs w:val="22"/>
        </w:rPr>
        <w:t xml:space="preserve">The phenomenon of an initial public offering of shares is a situation followed by an abnormal movement of price on the first day, illustrating the poor correspondence of stock price movement towards the efficient market hypothesis. This discrepancy (empirical deviation) is often referred to as an efficient market anomaly. </w:t>
      </w:r>
      <w:r>
        <w:rPr>
          <w:color w:val="000000"/>
          <w:sz w:val="22"/>
          <w:szCs w:val="22"/>
        </w:rPr>
        <w:fldChar w:fldCharType="begin"/>
      </w:r>
      <w:r>
        <w:rPr>
          <w:color w:val="000000"/>
          <w:sz w:val="22"/>
          <w:szCs w:val="22"/>
        </w:rPr>
        <w:instrText xml:space="preserve">Stewart, 2000 #124)" </w:instrText>
      </w:r>
      <w:r>
        <w:rPr>
          <w:color w:val="000000"/>
          <w:sz w:val="22"/>
          <w:szCs w:val="22"/>
        </w:rPr>
        <w:fldChar w:fldCharType="separate"/>
      </w:r>
      <w:r>
        <w:rPr>
          <w:color w:val="000000"/>
          <w:sz w:val="22"/>
          <w:szCs w:val="22"/>
        </w:rPr>
        <w:t>(Stewart, 2000 #124)</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 xml:space="preserve"> QUOTE "(Stewart, 2000 #124)" </w:instrText>
      </w:r>
      <w:r>
        <w:rPr>
          <w:color w:val="000000"/>
          <w:sz w:val="22"/>
          <w:szCs w:val="22"/>
        </w:rPr>
        <w:fldChar w:fldCharType="separate"/>
      </w:r>
      <w:r>
        <w:rPr>
          <w:color w:val="000000"/>
          <w:sz w:val="22"/>
          <w:szCs w:val="22"/>
        </w:rPr>
        <w:t>Stewart (2000)</w:t>
      </w:r>
      <w:r>
        <w:rPr>
          <w:color w:val="000000"/>
          <w:sz w:val="22"/>
          <w:szCs w:val="22"/>
        </w:rPr>
        <w:fldChar w:fldCharType="end"/>
      </w:r>
      <w:r>
        <w:rPr>
          <w:color w:val="000000"/>
          <w:sz w:val="22"/>
          <w:szCs w:val="22"/>
        </w:rPr>
        <w:t xml:space="preserve"> explained </w:t>
      </w:r>
      <w:r>
        <w:rPr>
          <w:i/>
          <w:color w:val="000000"/>
          <w:sz w:val="22"/>
          <w:szCs w:val="22"/>
        </w:rPr>
        <w:t xml:space="preserve">behavioural finance </w:t>
      </w:r>
      <w:r>
        <w:rPr>
          <w:color w:val="000000"/>
          <w:sz w:val="22"/>
          <w:szCs w:val="22"/>
        </w:rPr>
        <w:t>as a study of psychology and financial science phenomena</w:t>
      </w:r>
      <w:r>
        <w:rPr>
          <w:i/>
          <w:color w:val="000000"/>
          <w:sz w:val="22"/>
          <w:szCs w:val="22"/>
        </w:rPr>
        <w:t xml:space="preserve">, </w:t>
      </w:r>
      <w:r>
        <w:rPr>
          <w:color w:val="000000"/>
          <w:sz w:val="22"/>
          <w:szCs w:val="22"/>
        </w:rPr>
        <w:t xml:space="preserve">which shows the investors’ conduct during the process of understanding and responding to information. </w:t>
      </w:r>
      <w:r>
        <w:rPr>
          <w:color w:val="000000"/>
          <w:sz w:val="22"/>
          <w:szCs w:val="22"/>
        </w:rPr>
        <w:fldChar w:fldCharType="begin"/>
      </w:r>
      <w:r>
        <w:rPr>
          <w:color w:val="000000"/>
          <w:sz w:val="22"/>
          <w:szCs w:val="22"/>
        </w:rPr>
        <w:instrText xml:space="preserve"> QUOTE "(Tauni, 2017 #125)" </w:instrText>
      </w:r>
      <w:r>
        <w:rPr>
          <w:color w:val="000000"/>
          <w:sz w:val="22"/>
          <w:szCs w:val="22"/>
        </w:rPr>
        <w:fldChar w:fldCharType="separate"/>
      </w:r>
      <w:r>
        <w:rPr>
          <w:color w:val="000000"/>
          <w:sz w:val="22"/>
          <w:szCs w:val="22"/>
        </w:rPr>
        <w:t>Tauni (2017)</w:t>
      </w:r>
      <w:r>
        <w:rPr>
          <w:color w:val="000000"/>
          <w:sz w:val="22"/>
          <w:szCs w:val="22"/>
        </w:rPr>
        <w:fldChar w:fldCharType="end"/>
      </w:r>
      <w:r>
        <w:rPr>
          <w:color w:val="000000"/>
          <w:sz w:val="22"/>
          <w:szCs w:val="22"/>
        </w:rPr>
        <w:t xml:space="preserve"> explained the influence of these psychological factors in the determination of how investors make decisions, known to be likely influenced by the observations of others and some individuals during social interactions. Furthermore, the continuous development of technology provides innovations leading to the emergence of social media, thus enhancing the ease of assessing all important information about the company. These characteristics media platforms, alongside its role as a place for social interaction, are of high relevance to investors. In addition, the sentiment is a picture of their emotions and thoughts channelled through social social media, where the positive forms possibly improve the </w:t>
      </w:r>
      <w:r>
        <w:rPr>
          <w:i/>
          <w:color w:val="000000"/>
          <w:sz w:val="22"/>
          <w:szCs w:val="22"/>
        </w:rPr>
        <w:t xml:space="preserve">brand image </w:t>
      </w:r>
      <w:r>
        <w:rPr>
          <w:color w:val="000000"/>
          <w:sz w:val="22"/>
          <w:szCs w:val="22"/>
        </w:rPr>
        <w:t>and reputation, while the negative tend to cause damage. These characteristics eventually influence the determination of investment decisions.</w:t>
      </w:r>
    </w:p>
    <w:p>
      <w:pPr>
        <w:ind w:firstLine="420"/>
        <w:jc w:val="both"/>
        <w:rPr>
          <w:color w:val="000000"/>
          <w:sz w:val="22"/>
          <w:szCs w:val="22"/>
        </w:rPr>
      </w:pPr>
      <w:bookmarkStart w:id="0" w:name="_gjdgxs" w:colFirst="0" w:colLast="0"/>
      <w:bookmarkEnd w:id="0"/>
      <w:r>
        <w:rPr>
          <w:color w:val="000000"/>
          <w:sz w:val="22"/>
          <w:szCs w:val="22"/>
        </w:rPr>
        <w:fldChar w:fldCharType="begin"/>
      </w:r>
      <w:r>
        <w:rPr>
          <w:color w:val="000000"/>
          <w:sz w:val="22"/>
          <w:szCs w:val="22"/>
        </w:rPr>
        <w:instrText xml:space="preserve"> QUOTE "(Nussbaumer, 2011 #120)" </w:instrText>
      </w:r>
      <w:r>
        <w:rPr>
          <w:color w:val="000000"/>
          <w:sz w:val="22"/>
          <w:szCs w:val="22"/>
        </w:rPr>
        <w:fldChar w:fldCharType="separate"/>
      </w:r>
      <w:r>
        <w:rPr>
          <w:color w:val="000000"/>
          <w:sz w:val="22"/>
          <w:szCs w:val="22"/>
        </w:rPr>
        <w:t>Nussbaumer (2011)</w:t>
      </w:r>
      <w:r>
        <w:rPr>
          <w:color w:val="000000"/>
          <w:sz w:val="22"/>
          <w:szCs w:val="22"/>
        </w:rPr>
        <w:fldChar w:fldCharType="end"/>
      </w:r>
      <w:r>
        <w:rPr>
          <w:color w:val="000000"/>
          <w:sz w:val="22"/>
          <w:szCs w:val="22"/>
        </w:rPr>
        <w:t xml:space="preserve"> emphasized the importance of remaining competitive, through the utility of various information made available in print media and online sources. Therefore, it is imperative to understand the search process and the choice of information channels, and was supported by </w:t>
      </w:r>
      <w:r>
        <w:rPr>
          <w:color w:val="000000"/>
          <w:sz w:val="22"/>
          <w:szCs w:val="22"/>
        </w:rPr>
        <w:fldChar w:fldCharType="begin"/>
      </w:r>
      <w:r>
        <w:rPr>
          <w:color w:val="000000"/>
          <w:sz w:val="22"/>
          <w:szCs w:val="22"/>
        </w:rPr>
        <w:instrText xml:space="preserve"> QUOTE "(Sattar Chaudhry, 2013 #122)" </w:instrText>
      </w:r>
      <w:r>
        <w:rPr>
          <w:color w:val="000000"/>
          <w:sz w:val="22"/>
          <w:szCs w:val="22"/>
        </w:rPr>
        <w:fldChar w:fldCharType="separate"/>
      </w:r>
      <w:r>
        <w:rPr>
          <w:color w:val="000000"/>
          <w:sz w:val="22"/>
          <w:szCs w:val="22"/>
        </w:rPr>
        <w:t>(Sattar Chaudhry, 2013)</w:t>
      </w:r>
      <w:r>
        <w:rPr>
          <w:color w:val="000000"/>
          <w:sz w:val="22"/>
          <w:szCs w:val="22"/>
        </w:rPr>
        <w:fldChar w:fldCharType="end"/>
      </w:r>
      <w:r>
        <w:rPr>
          <w:color w:val="000000"/>
          <w:sz w:val="22"/>
          <w:szCs w:val="22"/>
        </w:rPr>
        <w:t xml:space="preserve">, which stated its complexity in the general business sector and particularly in the investment sector. Furthermore, various types of financial and non-financial data are required to back up financial analysts </w:t>
      </w:r>
      <w:r>
        <w:rPr>
          <w:color w:val="000000"/>
          <w:sz w:val="22"/>
          <w:szCs w:val="22"/>
        </w:rPr>
        <w:fldChar w:fldCharType="begin"/>
      </w:r>
      <w:r>
        <w:rPr>
          <w:color w:val="000000"/>
          <w:sz w:val="22"/>
          <w:szCs w:val="22"/>
        </w:rPr>
        <w:instrText xml:space="preserve"> ADDIN EN.CITE &lt;EndNote&gt;&lt;Cite&gt;&lt;Author&gt;Sattar Chaudhry&lt;/Author&gt;&lt;Year&gt;2013&lt;/Year&gt;&lt;RecNum&gt;122&lt;/RecNum&gt;&lt;DisplayText&gt;(Sattar Chaudhry and Alansari, 2013)&lt;/DisplayText&gt;&lt;record&gt;&lt;rec-number&gt;122&lt;/rec-number&gt;&lt;foreign-keys&gt;&lt;key app="EN" db-id="f0pzfpxpbz29f2eae505vspf5e0dpxtxrvez" timestamp="1570671243"&gt;122&lt;/key&gt;&lt;/foreign-keys&gt;&lt;ref-type name="Journal Article"&gt;17&lt;/ref-type&gt;&lt;contributors&gt;&lt;authors&gt;&lt;author&gt;Sattar Chaudhry, Abdus&lt;/author&gt;&lt;author&gt;Alansari, Husain&lt;/author&gt;&lt;/authors&gt;&lt;/contributors&gt;&lt;titles&gt;&lt;title&gt;Use of electronic and digital information by investment professionals in Kuwait&lt;/title&gt;&lt;secondary-title&gt;Library Review&lt;/secondary-title&gt;&lt;/titles&gt;&lt;periodical&gt;&lt;full-title&gt;Library Review&lt;/full-title&gt;&lt;/periodical&gt;&lt;pages&gt;157-176&lt;/pages&gt;&lt;volume&gt;62&lt;/volume&gt;&lt;number&gt;3&lt;/number&gt;&lt;dates&gt;&lt;year&gt;2013&lt;/year&gt;&lt;/dates&gt;&lt;isbn&gt;0024-2535&lt;/isbn&gt;&lt;urls&gt;&lt;/urls&gt;&lt;/record&gt;&lt;/Cite&gt;&lt;/EndNote&gt;</w:instrText>
      </w:r>
      <w:r>
        <w:rPr>
          <w:color w:val="000000"/>
          <w:sz w:val="22"/>
          <w:szCs w:val="22"/>
        </w:rPr>
        <w:fldChar w:fldCharType="separate"/>
      </w:r>
      <w:r>
        <w:rPr>
          <w:color w:val="000000"/>
          <w:sz w:val="22"/>
          <w:szCs w:val="22"/>
        </w:rPr>
        <w:t>(</w:t>
      </w:r>
      <w:r>
        <w:fldChar w:fldCharType="begin"/>
      </w:r>
      <w:r>
        <w:instrText xml:space="preserve"> HYPERLINK \l "_ENREF_1" \o "Sattar Chaudhry, 2013 #122" </w:instrText>
      </w:r>
      <w:r>
        <w:fldChar w:fldCharType="separate"/>
      </w:r>
      <w:r>
        <w:rPr>
          <w:color w:val="000000"/>
          <w:sz w:val="22"/>
          <w:szCs w:val="22"/>
        </w:rPr>
        <w:t>Sattar Chaudhry and Alansari, 2013</w:t>
      </w:r>
      <w:r>
        <w:rPr>
          <w:color w:val="000000"/>
          <w:sz w:val="22"/>
          <w:szCs w:val="22"/>
        </w:rPr>
        <w:fldChar w:fldCharType="end"/>
      </w:r>
      <w:r>
        <w:rPr>
          <w:color w:val="000000"/>
          <w:sz w:val="22"/>
          <w:szCs w:val="22"/>
        </w:rPr>
        <w:t>)</w:t>
      </w:r>
      <w:r>
        <w:rPr>
          <w:color w:val="000000"/>
          <w:sz w:val="22"/>
          <w:szCs w:val="22"/>
        </w:rPr>
        <w:fldChar w:fldCharType="end"/>
      </w:r>
      <w:r>
        <w:rPr>
          <w:color w:val="000000"/>
          <w:sz w:val="22"/>
          <w:szCs w:val="22"/>
        </w:rPr>
        <w:t xml:space="preserve">, based on the assumption that most investors obtain information through the use of smartphones, instant messages and e-mails every day, and a few tend to adopt the use of Facebook, Twitter, blogs and wikis, and </w:t>
      </w:r>
      <w:r>
        <w:rPr>
          <w:color w:val="000000"/>
          <w:sz w:val="22"/>
          <w:szCs w:val="22"/>
        </w:rPr>
        <w:fldChar w:fldCharType="begin"/>
      </w:r>
      <w:r>
        <w:rPr>
          <w:color w:val="000000"/>
          <w:sz w:val="22"/>
          <w:szCs w:val="22"/>
        </w:rPr>
        <w:instrText xml:space="preserve"> QUOTE "(Sattar Chaudhry, 2013 #122)" </w:instrText>
      </w:r>
      <w:r>
        <w:rPr>
          <w:color w:val="000000"/>
          <w:sz w:val="22"/>
          <w:szCs w:val="22"/>
        </w:rPr>
        <w:fldChar w:fldCharType="separate"/>
      </w:r>
      <w:r>
        <w:rPr>
          <w:color w:val="000000"/>
          <w:sz w:val="22"/>
          <w:szCs w:val="22"/>
        </w:rPr>
        <w:t>Sattar Chaudhry, (2013)</w:t>
      </w:r>
      <w:r>
        <w:rPr>
          <w:color w:val="000000"/>
          <w:sz w:val="22"/>
          <w:szCs w:val="22"/>
        </w:rPr>
        <w:fldChar w:fldCharType="end"/>
      </w:r>
      <w:r>
        <w:rPr>
          <w:color w:val="000000"/>
          <w:sz w:val="22"/>
          <w:szCs w:val="22"/>
        </w:rPr>
        <w:t xml:space="preserve"> confirmed the enormous amount of time spent during searches. Furthermore, investors are now enabled to view posts, rate news, and attach comments after the emergence of social media. Empirically, several studies by </w:t>
      </w:r>
      <w:r>
        <w:rPr>
          <w:color w:val="000000"/>
          <w:sz w:val="22"/>
          <w:szCs w:val="22"/>
        </w:rPr>
        <w:fldChar w:fldCharType="begin"/>
      </w:r>
      <w:r>
        <w:rPr>
          <w:color w:val="000000"/>
          <w:sz w:val="22"/>
          <w:szCs w:val="22"/>
        </w:rPr>
        <w:instrText xml:space="preserve"> QUOTE "(Bollen, 2011 #106)" </w:instrText>
      </w:r>
      <w:r>
        <w:rPr>
          <w:color w:val="000000"/>
          <w:sz w:val="22"/>
          <w:szCs w:val="22"/>
        </w:rPr>
        <w:fldChar w:fldCharType="separate"/>
      </w:r>
      <w:r>
        <w:rPr>
          <w:color w:val="000000"/>
          <w:sz w:val="22"/>
          <w:szCs w:val="22"/>
        </w:rPr>
        <w:t>(Bollen, 2011)</w:t>
      </w:r>
      <w:r>
        <w:rPr>
          <w:color w:val="000000"/>
          <w:sz w:val="22"/>
          <w:szCs w:val="22"/>
        </w:rPr>
        <w:fldChar w:fldCharType="end"/>
      </w:r>
      <w:r>
        <w:rPr>
          <w:color w:val="000000"/>
          <w:sz w:val="22"/>
          <w:szCs w:val="22"/>
        </w:rPr>
        <w:t xml:space="preserve"> were identified as the first to use Twitter sentiment in the prediction of stock market performance, showing evidence on the influence of investor sentiment. The research results indicate the influence of the existing atmosphere on </w:t>
      </w:r>
      <w:r>
        <w:rPr>
          <w:i/>
          <w:color w:val="000000"/>
          <w:sz w:val="22"/>
          <w:szCs w:val="22"/>
        </w:rPr>
        <w:t xml:space="preserve">public happiness </w:t>
      </w:r>
      <w:r>
        <w:rPr>
          <w:color w:val="000000"/>
          <w:sz w:val="22"/>
          <w:szCs w:val="22"/>
        </w:rPr>
        <w:t xml:space="preserve">as a positive sentiment that possibly predicts stock price movements. </w:t>
      </w:r>
      <w:r>
        <w:rPr>
          <w:color w:val="000000"/>
          <w:sz w:val="22"/>
          <w:szCs w:val="22"/>
        </w:rPr>
        <w:fldChar w:fldCharType="begin"/>
      </w:r>
      <w:r>
        <w:rPr>
          <w:color w:val="000000"/>
          <w:sz w:val="22"/>
          <w:szCs w:val="22"/>
        </w:rPr>
        <w:instrText xml:space="preserve"> QUOTE "(Coviello, 2014 #109)" </w:instrText>
      </w:r>
      <w:r>
        <w:rPr>
          <w:color w:val="000000"/>
          <w:sz w:val="22"/>
          <w:szCs w:val="22"/>
        </w:rPr>
        <w:fldChar w:fldCharType="separate"/>
      </w:r>
      <w:r>
        <w:rPr>
          <w:color w:val="000000"/>
          <w:sz w:val="22"/>
          <w:szCs w:val="22"/>
        </w:rPr>
        <w:t>Coviello, (2014)</w:t>
      </w:r>
      <w:r>
        <w:rPr>
          <w:color w:val="000000"/>
          <w:sz w:val="22"/>
          <w:szCs w:val="22"/>
        </w:rPr>
        <w:fldChar w:fldCharType="end"/>
      </w:r>
      <w:r>
        <w:rPr>
          <w:color w:val="000000"/>
          <w:sz w:val="22"/>
          <w:szCs w:val="22"/>
        </w:rPr>
        <w:t xml:space="preserve">; and </w:t>
      </w:r>
      <w:r>
        <w:rPr>
          <w:color w:val="000000"/>
          <w:sz w:val="22"/>
          <w:szCs w:val="22"/>
        </w:rPr>
        <w:fldChar w:fldCharType="begin"/>
      </w:r>
      <w:r>
        <w:rPr>
          <w:color w:val="000000"/>
          <w:sz w:val="22"/>
          <w:szCs w:val="22"/>
        </w:rPr>
        <w:instrText xml:space="preserve"> QUOTE "(Kramer, 2014 #115)" </w:instrText>
      </w:r>
      <w:r>
        <w:rPr>
          <w:color w:val="000000"/>
          <w:sz w:val="22"/>
          <w:szCs w:val="22"/>
        </w:rPr>
        <w:fldChar w:fldCharType="separate"/>
      </w:r>
      <w:r>
        <w:rPr>
          <w:color w:val="000000"/>
          <w:sz w:val="22"/>
          <w:szCs w:val="22"/>
        </w:rPr>
        <w:t>Kramer, (2014)</w:t>
      </w:r>
      <w:r>
        <w:rPr>
          <w:color w:val="000000"/>
          <w:sz w:val="22"/>
          <w:szCs w:val="22"/>
        </w:rPr>
        <w:fldChar w:fldCharType="end"/>
      </w:r>
      <w:r>
        <w:rPr>
          <w:color w:val="000000"/>
          <w:sz w:val="22"/>
          <w:szCs w:val="22"/>
        </w:rPr>
        <w:t xml:space="preserve"> supported the spread of emotions transmitted among internet users through text-based communication. </w:t>
      </w:r>
    </w:p>
    <w:p>
      <w:pPr>
        <w:ind w:firstLine="420"/>
        <w:jc w:val="both"/>
        <w:rPr>
          <w:color w:val="000000"/>
          <w:sz w:val="22"/>
          <w:szCs w:val="22"/>
        </w:rPr>
      </w:pPr>
      <w:r>
        <w:rPr>
          <w:color w:val="000000"/>
          <w:sz w:val="22"/>
          <w:szCs w:val="22"/>
        </w:rPr>
        <w:t xml:space="preserve">Concerning social media, </w:t>
      </w:r>
      <w:r>
        <w:rPr>
          <w:color w:val="000000"/>
          <w:sz w:val="22"/>
          <w:szCs w:val="22"/>
        </w:rPr>
        <w:fldChar w:fldCharType="begin"/>
      </w:r>
      <w:r>
        <w:rPr>
          <w:color w:val="000000"/>
          <w:sz w:val="22"/>
          <w:szCs w:val="22"/>
        </w:rPr>
        <w:instrText xml:space="preserve"> QUOTE "(Muchnik, 2013 #118)" </w:instrText>
      </w:r>
      <w:r>
        <w:rPr>
          <w:color w:val="000000"/>
          <w:sz w:val="22"/>
          <w:szCs w:val="22"/>
        </w:rPr>
        <w:fldChar w:fldCharType="separate"/>
      </w:r>
      <w:r>
        <w:rPr>
          <w:color w:val="000000"/>
          <w:sz w:val="22"/>
          <w:szCs w:val="22"/>
        </w:rPr>
        <w:t>Muchnik (2013)</w:t>
      </w:r>
      <w:r>
        <w:rPr>
          <w:color w:val="000000"/>
          <w:sz w:val="22"/>
          <w:szCs w:val="22"/>
        </w:rPr>
        <w:fldChar w:fldCharType="end"/>
      </w:r>
      <w:r>
        <w:rPr>
          <w:color w:val="000000"/>
          <w:sz w:val="22"/>
          <w:szCs w:val="22"/>
        </w:rPr>
        <w:t xml:space="preserve"> and </w:t>
      </w:r>
      <w:r>
        <w:rPr>
          <w:color w:val="000000"/>
          <w:sz w:val="22"/>
          <w:szCs w:val="22"/>
        </w:rPr>
        <w:fldChar w:fldCharType="begin"/>
      </w:r>
      <w:r>
        <w:rPr>
          <w:color w:val="000000"/>
          <w:sz w:val="22"/>
          <w:szCs w:val="22"/>
        </w:rPr>
        <w:instrText xml:space="preserve"> QUOTE "(Trinkle, 2015 #126)" </w:instrText>
      </w:r>
      <w:r>
        <w:rPr>
          <w:color w:val="000000"/>
          <w:sz w:val="22"/>
          <w:szCs w:val="22"/>
        </w:rPr>
        <w:fldChar w:fldCharType="separate"/>
      </w:r>
      <w:r>
        <w:rPr>
          <w:color w:val="000000"/>
          <w:sz w:val="22"/>
          <w:szCs w:val="22"/>
        </w:rPr>
        <w:t>Trinkle (2015)</w:t>
      </w:r>
      <w:r>
        <w:rPr>
          <w:color w:val="000000"/>
          <w:sz w:val="22"/>
          <w:szCs w:val="22"/>
        </w:rPr>
        <w:fldChar w:fldCharType="end"/>
      </w:r>
      <w:r>
        <w:rPr>
          <w:color w:val="000000"/>
          <w:sz w:val="22"/>
          <w:szCs w:val="22"/>
        </w:rPr>
        <w:t xml:space="preserve"> demonstrated the possibility of participants' perceptions and reactions towards news to be influenced by the opinion of the majority, expressed through social media comments. </w:t>
      </w:r>
      <w:r>
        <w:rPr>
          <w:color w:val="000000"/>
          <w:sz w:val="22"/>
          <w:szCs w:val="22"/>
        </w:rPr>
        <w:fldChar w:fldCharType="begin"/>
      </w:r>
      <w:r>
        <w:rPr>
          <w:color w:val="000000"/>
          <w:sz w:val="22"/>
          <w:szCs w:val="22"/>
        </w:rPr>
        <w:instrText xml:space="preserve"> QUOTE "(Chen, 2014 #108)" </w:instrText>
      </w:r>
      <w:r>
        <w:rPr>
          <w:color w:val="000000"/>
          <w:sz w:val="22"/>
          <w:szCs w:val="22"/>
        </w:rPr>
        <w:fldChar w:fldCharType="separate"/>
      </w:r>
      <w:r>
        <w:rPr>
          <w:color w:val="000000"/>
          <w:sz w:val="22"/>
          <w:szCs w:val="22"/>
        </w:rPr>
        <w:t>Chen, (2014)</w:t>
      </w:r>
      <w:r>
        <w:rPr>
          <w:color w:val="000000"/>
          <w:sz w:val="22"/>
          <w:szCs w:val="22"/>
        </w:rPr>
        <w:fldChar w:fldCharType="end"/>
      </w:r>
      <w:r>
        <w:rPr>
          <w:color w:val="000000"/>
          <w:sz w:val="22"/>
          <w:szCs w:val="22"/>
        </w:rPr>
        <w:t xml:space="preserve"> conducted a textual analysis on negative opinions and comments contained in articles specifically based on investors in USA, and a decline in </w:t>
      </w:r>
      <w:r>
        <w:rPr>
          <w:i/>
          <w:color w:val="000000"/>
          <w:sz w:val="22"/>
          <w:szCs w:val="22"/>
        </w:rPr>
        <w:t xml:space="preserve">returns </w:t>
      </w:r>
      <w:r>
        <w:rPr>
          <w:color w:val="000000"/>
          <w:sz w:val="22"/>
          <w:szCs w:val="22"/>
        </w:rPr>
        <w:t xml:space="preserve">stock was observed. </w:t>
      </w:r>
      <w:r>
        <w:rPr>
          <w:color w:val="000000"/>
          <w:sz w:val="22"/>
          <w:szCs w:val="22"/>
        </w:rPr>
        <w:fldChar w:fldCharType="begin"/>
      </w:r>
      <w:r>
        <w:rPr>
          <w:color w:val="000000"/>
          <w:sz w:val="22"/>
          <w:szCs w:val="22"/>
        </w:rPr>
        <w:instrText xml:space="preserve"> QUOTE "(Ranco, 2015 #121)" </w:instrText>
      </w:r>
      <w:r>
        <w:rPr>
          <w:color w:val="000000"/>
          <w:sz w:val="22"/>
          <w:szCs w:val="22"/>
        </w:rPr>
        <w:fldChar w:fldCharType="separate"/>
      </w:r>
      <w:r>
        <w:rPr>
          <w:color w:val="000000"/>
          <w:sz w:val="22"/>
          <w:szCs w:val="22"/>
        </w:rPr>
        <w:t>Ranco, (2015)</w:t>
      </w:r>
      <w:r>
        <w:rPr>
          <w:color w:val="000000"/>
          <w:sz w:val="22"/>
          <w:szCs w:val="22"/>
        </w:rPr>
        <w:fldChar w:fldCharType="end"/>
      </w:r>
      <w:r>
        <w:rPr>
          <w:color w:val="000000"/>
          <w:sz w:val="22"/>
          <w:szCs w:val="22"/>
        </w:rPr>
        <w:t xml:space="preserve"> showed the influence of positive sentiment on the increase in </w:t>
      </w:r>
      <w:r>
        <w:rPr>
          <w:i/>
          <w:color w:val="000000"/>
          <w:sz w:val="22"/>
          <w:szCs w:val="22"/>
        </w:rPr>
        <w:t>Cumulative Abnormal Return</w:t>
      </w:r>
      <w:r>
        <w:rPr>
          <w:color w:val="000000"/>
          <w:sz w:val="22"/>
          <w:szCs w:val="22"/>
        </w:rPr>
        <w:t xml:space="preserve"> (CAR) of 30 companies in the DJIA Index, while </w:t>
      </w:r>
      <w:r>
        <w:rPr>
          <w:color w:val="000000"/>
          <w:sz w:val="22"/>
          <w:szCs w:val="22"/>
        </w:rPr>
        <w:fldChar w:fldCharType="begin"/>
      </w:r>
      <w:r>
        <w:rPr>
          <w:color w:val="000000"/>
          <w:sz w:val="22"/>
          <w:szCs w:val="22"/>
        </w:rPr>
        <w:instrText xml:space="preserve"> QUOTE "(Nofer, 2015 #119)" </w:instrText>
      </w:r>
      <w:r>
        <w:rPr>
          <w:color w:val="000000"/>
          <w:sz w:val="22"/>
          <w:szCs w:val="22"/>
        </w:rPr>
        <w:fldChar w:fldCharType="separate"/>
      </w:r>
      <w:r>
        <w:rPr>
          <w:color w:val="000000"/>
          <w:sz w:val="22"/>
          <w:szCs w:val="22"/>
        </w:rPr>
        <w:t>Nofer, (2015)</w:t>
      </w:r>
      <w:r>
        <w:rPr>
          <w:color w:val="000000"/>
          <w:sz w:val="22"/>
          <w:szCs w:val="22"/>
        </w:rPr>
        <w:fldChar w:fldCharType="end"/>
      </w:r>
      <w:r>
        <w:rPr>
          <w:color w:val="000000"/>
          <w:sz w:val="22"/>
          <w:szCs w:val="22"/>
        </w:rPr>
        <w:t xml:space="preserve"> examined the effects of emotional contagion in financial settings (using the Twitter mood and its effect) on stock returns, and the results demonstrated evidence that supports its transmission behavioural influence. Empirically, most studies observed to have examined the impact of Twitter and StockTwits in the financial context tend to mainly focus on testing the predictive power of sentiment/information for stock market performance. This was supported by (Jaziri, 2018), known to have related the positive emotions at the time of Ramadan with the significant effect of increasing </w:t>
      </w:r>
      <w:r>
        <w:rPr>
          <w:i/>
          <w:color w:val="000000"/>
          <w:sz w:val="22"/>
          <w:szCs w:val="22"/>
        </w:rPr>
        <w:t xml:space="preserve">returns </w:t>
      </w:r>
      <w:r>
        <w:rPr>
          <w:color w:val="000000"/>
          <w:sz w:val="22"/>
          <w:szCs w:val="22"/>
        </w:rPr>
        <w:t>stock on financial markets in Arabia. Furthermore,  the effect was perceived by Arab financial markets within the first 10 days and 10 days after a positive sentiment on social media.</w:t>
      </w:r>
    </w:p>
    <w:p>
      <w:pPr>
        <w:ind w:firstLine="420"/>
        <w:jc w:val="both"/>
        <w:rPr>
          <w:color w:val="000000"/>
          <w:sz w:val="22"/>
          <w:szCs w:val="22"/>
        </w:rPr>
      </w:pPr>
      <w:r>
        <w:rPr>
          <w:color w:val="000000"/>
          <w:sz w:val="22"/>
          <w:szCs w:val="22"/>
        </w:rPr>
        <w:t xml:space="preserve">Alexander (2014) stated the central role of social media in "eliminating the asymmetry" of information between various agents, to ascertain if it is </w:t>
      </w:r>
      <w:r>
        <w:t>up to date</w:t>
      </w:r>
      <w:r>
        <w:rPr>
          <w:color w:val="000000"/>
          <w:sz w:val="22"/>
          <w:szCs w:val="22"/>
        </w:rPr>
        <w:t xml:space="preserve">. Also, they are known to allow two-way communication, including amongst individuals and between individuals and companies that allows not only communication of information to investors but also encourages the feedback of perceptions (Cade, 2018). Furthermore, there are known social ties that causes an individual to place higher trust on others or groups, due to the extent of personal interactions with the information sources through social media, as well as the interpersonal connection (Elliott, 2018). This study also established the possibility of investors to develop stronger social ties and higher trust when CEOs communicate company news through a personal Twitter account. Ali, (2018) reported evidence on an existing relationship between investor sentiment and </w:t>
      </w:r>
      <w:r>
        <w:rPr>
          <w:i/>
          <w:color w:val="000000"/>
          <w:sz w:val="22"/>
          <w:szCs w:val="22"/>
        </w:rPr>
        <w:t>return</w:t>
      </w:r>
      <w:r>
        <w:rPr>
          <w:color w:val="000000"/>
          <w:sz w:val="22"/>
          <w:szCs w:val="22"/>
        </w:rPr>
        <w:t xml:space="preserve"> stock in the context of the capital market, although</w:t>
      </w:r>
      <w:r>
        <w:rPr>
          <w:color w:val="000000"/>
          <w:sz w:val="22"/>
          <w:szCs w:val="22"/>
          <w:highlight w:val="white"/>
        </w:rPr>
        <w:t xml:space="preserve"> research conducted by We Are Social (2018) stipulated that about 120 million Indonesians use mobile devices, encompassing smartphones or tablets to access social media. </w:t>
      </w:r>
      <w:r>
        <w:rPr>
          <w:color w:val="000000"/>
          <w:sz w:val="22"/>
          <w:szCs w:val="22"/>
        </w:rPr>
        <w:t xml:space="preserve">ComScore (2017) reported that the application </w:t>
      </w:r>
      <w:r>
        <w:fldChar w:fldCharType="begin"/>
      </w:r>
      <w:r>
        <w:instrText xml:space="preserve"> HYPERLINK "https://id.techinasia.com/tag/instagram" </w:instrText>
      </w:r>
      <w:r>
        <w:fldChar w:fldCharType="separate"/>
      </w:r>
      <w:r>
        <w:rPr>
          <w:i/>
          <w:color w:val="000000"/>
          <w:sz w:val="22"/>
          <w:szCs w:val="22"/>
        </w:rPr>
        <w:t>of Instagram</w:t>
      </w:r>
      <w:r>
        <w:rPr>
          <w:i/>
          <w:color w:val="000000"/>
          <w:sz w:val="22"/>
          <w:szCs w:val="22"/>
        </w:rPr>
        <w:fldChar w:fldCharType="end"/>
      </w:r>
      <w:r>
        <w:rPr>
          <w:color w:val="000000"/>
          <w:sz w:val="22"/>
          <w:szCs w:val="22"/>
        </w:rPr>
        <w:t xml:space="preserve"> has more users than </w:t>
      </w:r>
      <w:r>
        <w:rPr>
          <w:i/>
          <w:color w:val="000000"/>
          <w:sz w:val="22"/>
          <w:szCs w:val="22"/>
        </w:rPr>
        <w:t>Facebook</w:t>
      </w:r>
      <w:r>
        <w:rPr>
          <w:color w:val="000000"/>
          <w:sz w:val="22"/>
          <w:szCs w:val="22"/>
        </w:rPr>
        <w:t xml:space="preserve">. The purpose of this study, therefore, is to determine the effect of social media on investor sentiment in the Indonesian capital market, in order to provide investors with an overview for following the market, predicting future </w:t>
      </w:r>
      <w:r>
        <w:rPr>
          <w:i/>
          <w:color w:val="000000"/>
          <w:sz w:val="22"/>
          <w:szCs w:val="22"/>
        </w:rPr>
        <w:t xml:space="preserve">returns </w:t>
      </w:r>
      <w:r>
        <w:rPr>
          <w:color w:val="000000"/>
          <w:sz w:val="22"/>
          <w:szCs w:val="22"/>
        </w:rPr>
        <w:t>stock, and trading volumes.</w:t>
      </w:r>
    </w:p>
    <w:p>
      <w:pPr>
        <w:jc w:val="both"/>
        <w:rPr>
          <w:color w:val="000000"/>
          <w:sz w:val="22"/>
          <w:szCs w:val="22"/>
        </w:rPr>
      </w:pPr>
      <w:r>
        <w:rPr>
          <w:b/>
          <w:color w:val="000000"/>
          <w:sz w:val="22"/>
          <w:szCs w:val="22"/>
        </w:rPr>
        <w:t>2. RESEARCH METHODS</w:t>
      </w:r>
    </w:p>
    <w:p>
      <w:pPr>
        <w:ind w:firstLine="420"/>
        <w:jc w:val="both"/>
        <w:rPr>
          <w:color w:val="000000"/>
          <w:sz w:val="22"/>
          <w:szCs w:val="22"/>
        </w:rPr>
      </w:pPr>
      <w:r>
        <w:rPr>
          <w:color w:val="000000"/>
          <w:sz w:val="22"/>
          <w:szCs w:val="22"/>
        </w:rPr>
        <w:t xml:space="preserve">This research is a combination of (1) qualitative approaches, characterized by utilizing the technique of </w:t>
      </w:r>
      <w:r>
        <w:rPr>
          <w:i/>
          <w:color w:val="000000"/>
          <w:sz w:val="22"/>
          <w:szCs w:val="22"/>
        </w:rPr>
        <w:t>Content Analysis</w:t>
      </w:r>
      <w:r>
        <w:rPr>
          <w:color w:val="000000"/>
          <w:sz w:val="22"/>
          <w:szCs w:val="22"/>
        </w:rPr>
        <w:t xml:space="preserve"> to collect and evaluate the data in the form of words, pictures, symbols, meanings, themes and messages, communicated via written text, illustrated or discussed in books, newspapers, articles, magazines, speeches and others. This was conducted on the sentiments contained in the comments of investors through the Instagram handle, followed by analysis using an automatic machine (NVIVO 12) for coding the words contained. Furthermore, the proficiency level of the meanings was obtained using </w:t>
      </w:r>
      <w:r>
        <w:rPr>
          <w:i/>
          <w:color w:val="000000"/>
          <w:sz w:val="22"/>
          <w:szCs w:val="22"/>
        </w:rPr>
        <w:t>human coding</w:t>
      </w:r>
      <w:r>
        <w:rPr>
          <w:color w:val="000000"/>
          <w:sz w:val="22"/>
          <w:szCs w:val="22"/>
        </w:rPr>
        <w:t xml:space="preserve">, followed by coding to alter the aspect that represents variables into numbers. (2) The quantitative approach was performed to link the results of </w:t>
      </w:r>
      <w:r>
        <w:rPr>
          <w:i/>
          <w:color w:val="000000"/>
          <w:sz w:val="22"/>
          <w:szCs w:val="22"/>
        </w:rPr>
        <w:t xml:space="preserve">Content Analysis </w:t>
      </w:r>
      <w:r>
        <w:rPr>
          <w:color w:val="000000"/>
          <w:sz w:val="22"/>
          <w:szCs w:val="22"/>
        </w:rPr>
        <w:t>with stock movements, using causality (regression) analysis.</w:t>
      </w:r>
    </w:p>
    <w:p>
      <w:pPr>
        <w:jc w:val="both"/>
        <w:rPr>
          <w:color w:val="000000"/>
          <w:sz w:val="22"/>
          <w:szCs w:val="22"/>
        </w:rPr>
      </w:pPr>
      <w:r>
        <w:rPr>
          <w:b/>
          <w:color w:val="000000"/>
          <w:sz w:val="22"/>
          <w:szCs w:val="22"/>
        </w:rPr>
        <w:t>3. RESEARCH RESULTS</w:t>
      </w:r>
    </w:p>
    <w:p>
      <w:pPr>
        <w:ind w:firstLine="227"/>
        <w:jc w:val="both"/>
        <w:rPr>
          <w:color w:val="000000"/>
          <w:sz w:val="22"/>
          <w:szCs w:val="22"/>
        </w:rPr>
      </w:pPr>
      <w:r>
        <w:rPr>
          <w:color w:val="000000"/>
          <w:sz w:val="22"/>
          <w:szCs w:val="22"/>
        </w:rPr>
        <w:t xml:space="preserve">This study uses a regression estimation approach to predict </w:t>
      </w:r>
      <w:r>
        <w:rPr>
          <w:i/>
          <w:color w:val="000000"/>
          <w:sz w:val="22"/>
          <w:szCs w:val="22"/>
        </w:rPr>
        <w:t>stock returns</w:t>
      </w:r>
      <w:r>
        <w:rPr>
          <w:color w:val="000000"/>
          <w:sz w:val="22"/>
          <w:szCs w:val="22"/>
        </w:rPr>
        <w:t xml:space="preserve"> and </w:t>
      </w:r>
      <w:r>
        <w:rPr>
          <w:i/>
          <w:color w:val="000000"/>
          <w:sz w:val="22"/>
          <w:szCs w:val="22"/>
        </w:rPr>
        <w:t>trading volumes</w:t>
      </w:r>
      <w:r>
        <w:rPr>
          <w:color w:val="000000"/>
          <w:sz w:val="22"/>
          <w:szCs w:val="22"/>
        </w:rPr>
        <w:t xml:space="preserve"> at the time of an IPO. In addition, multiple regression analysis was used with OLS </w:t>
      </w:r>
      <w:r>
        <w:rPr>
          <w:i/>
          <w:color w:val="000000"/>
          <w:sz w:val="22"/>
          <w:szCs w:val="22"/>
        </w:rPr>
        <w:t>(Ordinary Least Square)</w:t>
      </w:r>
      <w:r>
        <w:rPr>
          <w:color w:val="000000"/>
          <w:sz w:val="22"/>
          <w:szCs w:val="22"/>
        </w:rPr>
        <w:t xml:space="preserve">, and the following results were obtained to predict </w:t>
      </w:r>
      <w:r>
        <w:rPr>
          <w:i/>
          <w:color w:val="000000"/>
          <w:sz w:val="22"/>
          <w:szCs w:val="22"/>
        </w:rPr>
        <w:t>stock returns</w:t>
      </w:r>
      <w:r>
        <w:rPr>
          <w:color w:val="000000"/>
          <w:sz w:val="22"/>
          <w:szCs w:val="22"/>
        </w:rPr>
        <w:t xml:space="preserve"> and </w:t>
      </w:r>
      <w:r>
        <w:rPr>
          <w:i/>
          <w:color w:val="000000"/>
          <w:sz w:val="22"/>
          <w:szCs w:val="22"/>
        </w:rPr>
        <w:t>trading volume.</w:t>
      </w:r>
    </w:p>
    <w:p>
      <w:pPr>
        <w:ind w:firstLine="227"/>
        <w:jc w:val="center"/>
        <w:rPr>
          <w:b/>
          <w:i/>
          <w:color w:val="000000"/>
          <w:sz w:val="22"/>
          <w:szCs w:val="22"/>
        </w:rPr>
      </w:pPr>
      <w:r>
        <w:rPr>
          <w:b/>
          <w:color w:val="000000"/>
          <w:sz w:val="22"/>
          <w:szCs w:val="22"/>
        </w:rPr>
        <w:t xml:space="preserve">Table 1. Estimated Regression to Predict </w:t>
      </w:r>
      <w:r>
        <w:rPr>
          <w:b/>
          <w:i/>
          <w:color w:val="000000"/>
          <w:sz w:val="22"/>
          <w:szCs w:val="22"/>
        </w:rPr>
        <w:t xml:space="preserve">Return </w:t>
      </w:r>
      <w:r>
        <w:rPr>
          <w:b/>
          <w:color w:val="000000"/>
          <w:sz w:val="22"/>
          <w:szCs w:val="22"/>
        </w:rPr>
        <w:t xml:space="preserve">and </w:t>
      </w:r>
      <w:r>
        <w:rPr>
          <w:b/>
          <w:i/>
          <w:color w:val="000000"/>
          <w:sz w:val="22"/>
          <w:szCs w:val="22"/>
        </w:rPr>
        <w:t>Trading Volume</w:t>
      </w:r>
    </w:p>
    <w:tbl>
      <w:tblPr>
        <w:tblStyle w:val="7"/>
        <w:tblW w:w="10038"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23"/>
        <w:gridCol w:w="927"/>
        <w:gridCol w:w="900"/>
        <w:gridCol w:w="990"/>
        <w:gridCol w:w="990"/>
        <w:gridCol w:w="16"/>
        <w:gridCol w:w="974"/>
        <w:gridCol w:w="990"/>
        <w:gridCol w:w="32"/>
        <w:gridCol w:w="958"/>
        <w:gridCol w:w="1006"/>
        <w:gridCol w:w="3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23" w:type="dxa"/>
            <w:vMerge w:val="restart"/>
            <w:shd w:val="clear" w:color="auto" w:fill="auto"/>
          </w:tcPr>
          <w:p>
            <w:pPr>
              <w:rPr>
                <w:sz w:val="16"/>
                <w:szCs w:val="16"/>
              </w:rPr>
            </w:pPr>
            <w:bookmarkStart w:id="1" w:name="_Hlk19449162"/>
            <w:r>
              <w:rPr>
                <w:sz w:val="16"/>
                <w:szCs w:val="16"/>
              </w:rPr>
              <w:t xml:space="preserve">Variabel </w:t>
            </w:r>
          </w:p>
        </w:tc>
        <w:tc>
          <w:tcPr>
            <w:tcW w:w="1827" w:type="dxa"/>
            <w:gridSpan w:val="2"/>
            <w:shd w:val="clear" w:color="auto" w:fill="auto"/>
          </w:tcPr>
          <w:p>
            <w:pPr>
              <w:jc w:val="center"/>
              <w:rPr>
                <w:sz w:val="16"/>
                <w:szCs w:val="16"/>
              </w:rPr>
            </w:pPr>
            <w:r>
              <w:rPr>
                <w:sz w:val="16"/>
                <w:szCs w:val="16"/>
              </w:rPr>
              <w:t>Model 1</w:t>
            </w:r>
          </w:p>
        </w:tc>
        <w:tc>
          <w:tcPr>
            <w:tcW w:w="1996" w:type="dxa"/>
            <w:gridSpan w:val="3"/>
            <w:shd w:val="clear" w:color="auto" w:fill="auto"/>
          </w:tcPr>
          <w:p>
            <w:pPr>
              <w:jc w:val="center"/>
              <w:rPr>
                <w:sz w:val="16"/>
                <w:szCs w:val="16"/>
              </w:rPr>
            </w:pPr>
            <w:r>
              <w:rPr>
                <w:sz w:val="16"/>
                <w:szCs w:val="16"/>
              </w:rPr>
              <w:t>Model 2</w:t>
            </w:r>
          </w:p>
        </w:tc>
        <w:tc>
          <w:tcPr>
            <w:tcW w:w="1996" w:type="dxa"/>
            <w:gridSpan w:val="3"/>
          </w:tcPr>
          <w:p>
            <w:pPr>
              <w:jc w:val="center"/>
              <w:rPr>
                <w:sz w:val="16"/>
                <w:szCs w:val="16"/>
              </w:rPr>
            </w:pPr>
            <w:r>
              <w:rPr>
                <w:sz w:val="16"/>
                <w:szCs w:val="16"/>
              </w:rPr>
              <w:t>Model 3</w:t>
            </w:r>
          </w:p>
        </w:tc>
        <w:tc>
          <w:tcPr>
            <w:tcW w:w="1996" w:type="dxa"/>
            <w:gridSpan w:val="3"/>
          </w:tcPr>
          <w:p>
            <w:pPr>
              <w:jc w:val="center"/>
              <w:rPr>
                <w:sz w:val="16"/>
                <w:szCs w:val="16"/>
              </w:rPr>
            </w:pPr>
            <w:r>
              <w:rPr>
                <w:sz w:val="16"/>
                <w:szCs w:val="16"/>
              </w:rPr>
              <w:t>Model 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vMerge w:val="continue"/>
            <w:shd w:val="clear" w:color="auto" w:fill="auto"/>
          </w:tcPr>
          <w:p>
            <w:pPr>
              <w:rPr>
                <w:sz w:val="16"/>
                <w:szCs w:val="16"/>
              </w:rPr>
            </w:pPr>
          </w:p>
        </w:tc>
        <w:tc>
          <w:tcPr>
            <w:tcW w:w="927" w:type="dxa"/>
            <w:shd w:val="clear" w:color="auto" w:fill="auto"/>
          </w:tcPr>
          <w:p>
            <w:pPr>
              <w:jc w:val="center"/>
              <w:rPr>
                <w:sz w:val="16"/>
                <w:szCs w:val="16"/>
              </w:rPr>
            </w:pPr>
            <w:r>
              <w:rPr>
                <w:sz w:val="16"/>
                <w:szCs w:val="16"/>
              </w:rPr>
              <w:t>β</w:t>
            </w:r>
          </w:p>
        </w:tc>
        <w:tc>
          <w:tcPr>
            <w:tcW w:w="900" w:type="dxa"/>
            <w:shd w:val="clear" w:color="auto" w:fill="auto"/>
          </w:tcPr>
          <w:p>
            <w:pPr>
              <w:jc w:val="center"/>
              <w:rPr>
                <w:sz w:val="16"/>
                <w:szCs w:val="16"/>
              </w:rPr>
            </w:pPr>
            <w:r>
              <w:rPr>
                <w:sz w:val="16"/>
                <w:szCs w:val="16"/>
              </w:rPr>
              <w:t>p-value</w:t>
            </w:r>
          </w:p>
        </w:tc>
        <w:tc>
          <w:tcPr>
            <w:tcW w:w="990" w:type="dxa"/>
          </w:tcPr>
          <w:p>
            <w:pPr>
              <w:jc w:val="center"/>
              <w:rPr>
                <w:sz w:val="16"/>
                <w:szCs w:val="16"/>
              </w:rPr>
            </w:pPr>
            <w:r>
              <w:rPr>
                <w:sz w:val="16"/>
                <w:szCs w:val="16"/>
              </w:rPr>
              <w:t>β</w:t>
            </w:r>
          </w:p>
        </w:tc>
        <w:tc>
          <w:tcPr>
            <w:tcW w:w="990" w:type="dxa"/>
          </w:tcPr>
          <w:p>
            <w:pPr>
              <w:jc w:val="center"/>
              <w:rPr>
                <w:sz w:val="16"/>
                <w:szCs w:val="16"/>
              </w:rPr>
            </w:pPr>
            <w:r>
              <w:rPr>
                <w:sz w:val="16"/>
                <w:szCs w:val="16"/>
              </w:rPr>
              <w:t>p-value</w:t>
            </w:r>
          </w:p>
        </w:tc>
        <w:tc>
          <w:tcPr>
            <w:tcW w:w="990" w:type="dxa"/>
            <w:gridSpan w:val="2"/>
          </w:tcPr>
          <w:p>
            <w:pPr>
              <w:jc w:val="center"/>
              <w:rPr>
                <w:sz w:val="16"/>
                <w:szCs w:val="16"/>
              </w:rPr>
            </w:pPr>
            <w:r>
              <w:rPr>
                <w:sz w:val="16"/>
                <w:szCs w:val="16"/>
              </w:rPr>
              <w:t>β</w:t>
            </w:r>
          </w:p>
        </w:tc>
        <w:tc>
          <w:tcPr>
            <w:tcW w:w="990" w:type="dxa"/>
          </w:tcPr>
          <w:p>
            <w:pPr>
              <w:jc w:val="center"/>
              <w:rPr>
                <w:sz w:val="16"/>
                <w:szCs w:val="16"/>
              </w:rPr>
            </w:pPr>
            <w:r>
              <w:rPr>
                <w:sz w:val="16"/>
                <w:szCs w:val="16"/>
              </w:rPr>
              <w:t>p-value</w:t>
            </w:r>
          </w:p>
        </w:tc>
        <w:tc>
          <w:tcPr>
            <w:tcW w:w="990" w:type="dxa"/>
            <w:gridSpan w:val="2"/>
            <w:shd w:val="clear" w:color="auto" w:fill="auto"/>
          </w:tcPr>
          <w:p>
            <w:pPr>
              <w:jc w:val="center"/>
              <w:rPr>
                <w:sz w:val="16"/>
                <w:szCs w:val="16"/>
              </w:rPr>
            </w:pPr>
            <w:r>
              <w:rPr>
                <w:sz w:val="16"/>
                <w:szCs w:val="16"/>
              </w:rPr>
              <w:t>β</w:t>
            </w:r>
          </w:p>
        </w:tc>
        <w:tc>
          <w:tcPr>
            <w:tcW w:w="1006" w:type="dxa"/>
            <w:shd w:val="clear" w:color="auto" w:fill="auto"/>
          </w:tcPr>
          <w:p>
            <w:pPr>
              <w:jc w:val="center"/>
              <w:rPr>
                <w:sz w:val="16"/>
                <w:szCs w:val="16"/>
              </w:rPr>
            </w:pPr>
            <w:r>
              <w:rPr>
                <w:sz w:val="16"/>
                <w:szCs w:val="16"/>
              </w:rPr>
              <w:t>p-value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shd w:val="clear" w:color="auto" w:fill="auto"/>
          </w:tcPr>
          <w:p>
            <w:pPr>
              <w:rPr>
                <w:sz w:val="16"/>
                <w:szCs w:val="16"/>
              </w:rPr>
            </w:pPr>
            <w:r>
              <w:rPr>
                <w:color w:val="000000"/>
                <w:sz w:val="16"/>
                <w:szCs w:val="16"/>
              </w:rPr>
              <w:t>Neutral Sentiment</w:t>
            </w:r>
          </w:p>
        </w:tc>
        <w:tc>
          <w:tcPr>
            <w:tcW w:w="927" w:type="dxa"/>
            <w:shd w:val="clear" w:color="auto" w:fill="auto"/>
            <w:vAlign w:val="bottom"/>
          </w:tcPr>
          <w:p>
            <w:pPr>
              <w:autoSpaceDE w:val="0"/>
              <w:autoSpaceDN w:val="0"/>
              <w:adjustRightInd w:val="0"/>
              <w:ind w:right="10"/>
              <w:jc w:val="right"/>
              <w:rPr>
                <w:color w:val="000000"/>
                <w:sz w:val="16"/>
                <w:szCs w:val="16"/>
              </w:rPr>
            </w:pPr>
            <w:r>
              <w:rPr>
                <w:color w:val="000000"/>
                <w:sz w:val="16"/>
                <w:szCs w:val="16"/>
              </w:rPr>
              <w:t>-0,014</w:t>
            </w:r>
          </w:p>
        </w:tc>
        <w:tc>
          <w:tcPr>
            <w:tcW w:w="900" w:type="dxa"/>
            <w:shd w:val="clear" w:color="auto" w:fill="auto"/>
            <w:vAlign w:val="bottom"/>
          </w:tcPr>
          <w:p>
            <w:pPr>
              <w:autoSpaceDE w:val="0"/>
              <w:autoSpaceDN w:val="0"/>
              <w:adjustRightInd w:val="0"/>
              <w:ind w:right="10"/>
              <w:rPr>
                <w:color w:val="000000"/>
                <w:sz w:val="16"/>
                <w:szCs w:val="16"/>
              </w:rPr>
            </w:pPr>
            <w:r>
              <w:rPr>
                <w:color w:val="000000"/>
                <w:sz w:val="16"/>
                <w:szCs w:val="16"/>
              </w:rPr>
              <w:t>0,116</w:t>
            </w:r>
          </w:p>
        </w:tc>
        <w:tc>
          <w:tcPr>
            <w:tcW w:w="990" w:type="dxa"/>
            <w:vAlign w:val="bottom"/>
          </w:tcPr>
          <w:p>
            <w:pPr>
              <w:autoSpaceDE w:val="0"/>
              <w:autoSpaceDN w:val="0"/>
              <w:adjustRightInd w:val="0"/>
              <w:ind w:right="10"/>
              <w:jc w:val="right"/>
              <w:rPr>
                <w:color w:val="000000"/>
                <w:sz w:val="16"/>
                <w:szCs w:val="16"/>
              </w:rPr>
            </w:pPr>
            <w:r>
              <w:rPr>
                <w:color w:val="000000"/>
                <w:sz w:val="16"/>
                <w:szCs w:val="16"/>
              </w:rPr>
              <w:t>-0,121</w:t>
            </w:r>
          </w:p>
        </w:tc>
        <w:tc>
          <w:tcPr>
            <w:tcW w:w="990" w:type="dxa"/>
            <w:vAlign w:val="bottom"/>
          </w:tcPr>
          <w:p>
            <w:pPr>
              <w:autoSpaceDE w:val="0"/>
              <w:autoSpaceDN w:val="0"/>
              <w:adjustRightInd w:val="0"/>
              <w:ind w:right="10"/>
              <w:jc w:val="right"/>
              <w:rPr>
                <w:color w:val="000000"/>
                <w:sz w:val="16"/>
                <w:szCs w:val="16"/>
              </w:rPr>
            </w:pPr>
            <w:r>
              <w:rPr>
                <w:color w:val="000000"/>
                <w:sz w:val="16"/>
                <w:szCs w:val="16"/>
              </w:rPr>
              <w:t>0,641</w:t>
            </w:r>
          </w:p>
        </w:tc>
        <w:tc>
          <w:tcPr>
            <w:tcW w:w="990" w:type="dxa"/>
            <w:gridSpan w:val="2"/>
            <w:vAlign w:val="bottom"/>
          </w:tcPr>
          <w:p>
            <w:pPr>
              <w:autoSpaceDE w:val="0"/>
              <w:autoSpaceDN w:val="0"/>
              <w:adjustRightInd w:val="0"/>
              <w:ind w:right="10"/>
              <w:jc w:val="right"/>
              <w:rPr>
                <w:color w:val="000000"/>
                <w:sz w:val="16"/>
                <w:szCs w:val="16"/>
              </w:rPr>
            </w:pPr>
            <w:r>
              <w:rPr>
                <w:color w:val="000000"/>
                <w:sz w:val="16"/>
                <w:szCs w:val="16"/>
              </w:rPr>
              <w:t>-0,102</w:t>
            </w:r>
          </w:p>
        </w:tc>
        <w:tc>
          <w:tcPr>
            <w:tcW w:w="990" w:type="dxa"/>
            <w:vAlign w:val="bottom"/>
          </w:tcPr>
          <w:p>
            <w:pPr>
              <w:autoSpaceDE w:val="0"/>
              <w:autoSpaceDN w:val="0"/>
              <w:adjustRightInd w:val="0"/>
              <w:ind w:right="10"/>
              <w:jc w:val="right"/>
              <w:rPr>
                <w:color w:val="000000"/>
                <w:sz w:val="16"/>
                <w:szCs w:val="16"/>
              </w:rPr>
            </w:pPr>
            <w:r>
              <w:rPr>
                <w:color w:val="000000"/>
                <w:sz w:val="16"/>
                <w:szCs w:val="16"/>
              </w:rPr>
              <w:t>0,725</w:t>
            </w:r>
          </w:p>
        </w:tc>
        <w:tc>
          <w:tcPr>
            <w:tcW w:w="990" w:type="dxa"/>
            <w:gridSpan w:val="2"/>
            <w:shd w:val="clear" w:color="auto" w:fill="auto"/>
            <w:vAlign w:val="bottom"/>
          </w:tcPr>
          <w:p>
            <w:pPr>
              <w:autoSpaceDE w:val="0"/>
              <w:autoSpaceDN w:val="0"/>
              <w:adjustRightInd w:val="0"/>
              <w:ind w:right="10"/>
              <w:jc w:val="right"/>
              <w:rPr>
                <w:color w:val="000000"/>
                <w:sz w:val="16"/>
                <w:szCs w:val="16"/>
              </w:rPr>
            </w:pPr>
            <w:r>
              <w:rPr>
                <w:color w:val="000000"/>
                <w:sz w:val="16"/>
                <w:szCs w:val="16"/>
              </w:rPr>
              <w:t>-0,019</w:t>
            </w:r>
          </w:p>
        </w:tc>
        <w:tc>
          <w:tcPr>
            <w:tcW w:w="1006" w:type="dxa"/>
            <w:shd w:val="clear" w:color="auto" w:fill="auto"/>
            <w:vAlign w:val="bottom"/>
          </w:tcPr>
          <w:p>
            <w:pPr>
              <w:autoSpaceDE w:val="0"/>
              <w:autoSpaceDN w:val="0"/>
              <w:adjustRightInd w:val="0"/>
              <w:ind w:right="10"/>
              <w:rPr>
                <w:color w:val="000000"/>
                <w:sz w:val="16"/>
                <w:szCs w:val="16"/>
              </w:rPr>
            </w:pPr>
            <w:r>
              <w:rPr>
                <w:color w:val="000000"/>
                <w:sz w:val="16"/>
                <w:szCs w:val="16"/>
              </w:rPr>
              <w:t>0,049**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shd w:val="clear" w:color="auto" w:fill="auto"/>
          </w:tcPr>
          <w:p>
            <w:pPr>
              <w:rPr>
                <w:sz w:val="16"/>
                <w:szCs w:val="16"/>
              </w:rPr>
            </w:pPr>
            <w:r>
              <w:rPr>
                <w:color w:val="000000"/>
                <w:sz w:val="16"/>
                <w:szCs w:val="16"/>
              </w:rPr>
              <w:t>Negative sentiment</w:t>
            </w:r>
          </w:p>
        </w:tc>
        <w:tc>
          <w:tcPr>
            <w:tcW w:w="927" w:type="dxa"/>
            <w:shd w:val="clear" w:color="auto" w:fill="auto"/>
            <w:vAlign w:val="bottom"/>
          </w:tcPr>
          <w:p>
            <w:pPr>
              <w:autoSpaceDE w:val="0"/>
              <w:autoSpaceDN w:val="0"/>
              <w:adjustRightInd w:val="0"/>
              <w:ind w:right="10"/>
              <w:jc w:val="right"/>
              <w:rPr>
                <w:color w:val="000000"/>
                <w:sz w:val="16"/>
                <w:szCs w:val="16"/>
              </w:rPr>
            </w:pPr>
            <w:r>
              <w:rPr>
                <w:color w:val="000000"/>
                <w:sz w:val="16"/>
                <w:szCs w:val="16"/>
              </w:rPr>
              <w:t>0,006</w:t>
            </w:r>
          </w:p>
        </w:tc>
        <w:tc>
          <w:tcPr>
            <w:tcW w:w="900" w:type="dxa"/>
            <w:shd w:val="clear" w:color="auto" w:fill="auto"/>
            <w:vAlign w:val="bottom"/>
          </w:tcPr>
          <w:p>
            <w:pPr>
              <w:autoSpaceDE w:val="0"/>
              <w:autoSpaceDN w:val="0"/>
              <w:adjustRightInd w:val="0"/>
              <w:ind w:right="10"/>
              <w:rPr>
                <w:color w:val="000000"/>
                <w:sz w:val="16"/>
                <w:szCs w:val="16"/>
              </w:rPr>
            </w:pPr>
            <w:r>
              <w:rPr>
                <w:color w:val="000000"/>
                <w:sz w:val="16"/>
                <w:szCs w:val="16"/>
              </w:rPr>
              <w:t>0,170</w:t>
            </w:r>
          </w:p>
        </w:tc>
        <w:tc>
          <w:tcPr>
            <w:tcW w:w="990" w:type="dxa"/>
            <w:vAlign w:val="bottom"/>
          </w:tcPr>
          <w:p>
            <w:pPr>
              <w:autoSpaceDE w:val="0"/>
              <w:autoSpaceDN w:val="0"/>
              <w:adjustRightInd w:val="0"/>
              <w:ind w:right="10"/>
              <w:jc w:val="right"/>
              <w:rPr>
                <w:color w:val="000000"/>
                <w:sz w:val="16"/>
                <w:szCs w:val="16"/>
              </w:rPr>
            </w:pPr>
            <w:r>
              <w:rPr>
                <w:color w:val="000000"/>
                <w:sz w:val="16"/>
                <w:szCs w:val="16"/>
              </w:rPr>
              <w:t>-0,2129</w:t>
            </w:r>
          </w:p>
        </w:tc>
        <w:tc>
          <w:tcPr>
            <w:tcW w:w="990" w:type="dxa"/>
            <w:vAlign w:val="bottom"/>
          </w:tcPr>
          <w:p>
            <w:pPr>
              <w:autoSpaceDE w:val="0"/>
              <w:autoSpaceDN w:val="0"/>
              <w:adjustRightInd w:val="0"/>
              <w:ind w:right="10"/>
              <w:jc w:val="right"/>
              <w:rPr>
                <w:color w:val="000000"/>
                <w:sz w:val="16"/>
                <w:szCs w:val="16"/>
              </w:rPr>
            </w:pPr>
            <w:r>
              <w:rPr>
                <w:color w:val="000000"/>
                <w:sz w:val="16"/>
                <w:szCs w:val="16"/>
              </w:rPr>
              <w:t>0,103*</w:t>
            </w:r>
          </w:p>
        </w:tc>
        <w:tc>
          <w:tcPr>
            <w:tcW w:w="990" w:type="dxa"/>
            <w:gridSpan w:val="2"/>
            <w:vAlign w:val="bottom"/>
          </w:tcPr>
          <w:p>
            <w:pPr>
              <w:autoSpaceDE w:val="0"/>
              <w:autoSpaceDN w:val="0"/>
              <w:adjustRightInd w:val="0"/>
              <w:ind w:right="10"/>
              <w:jc w:val="right"/>
              <w:rPr>
                <w:color w:val="000000"/>
                <w:sz w:val="16"/>
                <w:szCs w:val="16"/>
              </w:rPr>
            </w:pPr>
            <w:r>
              <w:rPr>
                <w:color w:val="000000"/>
                <w:sz w:val="16"/>
                <w:szCs w:val="16"/>
              </w:rPr>
              <w:t>-0,242</w:t>
            </w:r>
          </w:p>
        </w:tc>
        <w:tc>
          <w:tcPr>
            <w:tcW w:w="990" w:type="dxa"/>
            <w:vAlign w:val="bottom"/>
          </w:tcPr>
          <w:p>
            <w:pPr>
              <w:autoSpaceDE w:val="0"/>
              <w:autoSpaceDN w:val="0"/>
              <w:adjustRightInd w:val="0"/>
              <w:ind w:right="10"/>
              <w:jc w:val="right"/>
              <w:rPr>
                <w:color w:val="000000"/>
                <w:sz w:val="16"/>
                <w:szCs w:val="16"/>
              </w:rPr>
            </w:pPr>
            <w:r>
              <w:rPr>
                <w:color w:val="000000"/>
                <w:sz w:val="16"/>
                <w:szCs w:val="16"/>
              </w:rPr>
              <w:t>0,090*</w:t>
            </w:r>
          </w:p>
        </w:tc>
        <w:tc>
          <w:tcPr>
            <w:tcW w:w="990" w:type="dxa"/>
            <w:gridSpan w:val="2"/>
            <w:shd w:val="clear" w:color="auto" w:fill="auto"/>
            <w:vAlign w:val="bottom"/>
          </w:tcPr>
          <w:p>
            <w:pPr>
              <w:autoSpaceDE w:val="0"/>
              <w:autoSpaceDN w:val="0"/>
              <w:adjustRightInd w:val="0"/>
              <w:ind w:right="10"/>
              <w:jc w:val="right"/>
              <w:rPr>
                <w:color w:val="000000"/>
                <w:sz w:val="16"/>
                <w:szCs w:val="16"/>
              </w:rPr>
            </w:pPr>
            <w:r>
              <w:rPr>
                <w:color w:val="000000"/>
                <w:sz w:val="16"/>
                <w:szCs w:val="16"/>
              </w:rPr>
              <w:t>0,007</w:t>
            </w:r>
          </w:p>
        </w:tc>
        <w:tc>
          <w:tcPr>
            <w:tcW w:w="1006" w:type="dxa"/>
            <w:shd w:val="clear" w:color="auto" w:fill="auto"/>
            <w:vAlign w:val="bottom"/>
          </w:tcPr>
          <w:p>
            <w:pPr>
              <w:autoSpaceDE w:val="0"/>
              <w:autoSpaceDN w:val="0"/>
              <w:adjustRightInd w:val="0"/>
              <w:ind w:right="10"/>
              <w:rPr>
                <w:color w:val="000000"/>
                <w:sz w:val="16"/>
                <w:szCs w:val="16"/>
              </w:rPr>
            </w:pPr>
            <w:r>
              <w:rPr>
                <w:color w:val="000000"/>
                <w:sz w:val="16"/>
                <w:szCs w:val="16"/>
              </w:rPr>
              <w:t>0,102*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shd w:val="clear" w:color="auto" w:fill="auto"/>
          </w:tcPr>
          <w:p>
            <w:pPr>
              <w:rPr>
                <w:sz w:val="16"/>
                <w:szCs w:val="16"/>
              </w:rPr>
            </w:pPr>
            <w:r>
              <w:rPr>
                <w:color w:val="000000"/>
                <w:sz w:val="16"/>
                <w:szCs w:val="16"/>
              </w:rPr>
              <w:t>Positive sentiment</w:t>
            </w:r>
          </w:p>
        </w:tc>
        <w:tc>
          <w:tcPr>
            <w:tcW w:w="927" w:type="dxa"/>
            <w:shd w:val="clear" w:color="auto" w:fill="auto"/>
            <w:vAlign w:val="bottom"/>
          </w:tcPr>
          <w:p>
            <w:pPr>
              <w:autoSpaceDE w:val="0"/>
              <w:autoSpaceDN w:val="0"/>
              <w:adjustRightInd w:val="0"/>
              <w:ind w:right="10"/>
              <w:jc w:val="right"/>
              <w:rPr>
                <w:color w:val="000000"/>
                <w:sz w:val="16"/>
                <w:szCs w:val="16"/>
              </w:rPr>
            </w:pPr>
            <w:r>
              <w:rPr>
                <w:color w:val="000000"/>
                <w:sz w:val="16"/>
                <w:szCs w:val="16"/>
              </w:rPr>
              <w:t>-0,001</w:t>
            </w:r>
          </w:p>
        </w:tc>
        <w:tc>
          <w:tcPr>
            <w:tcW w:w="900" w:type="dxa"/>
            <w:shd w:val="clear" w:color="auto" w:fill="auto"/>
            <w:vAlign w:val="bottom"/>
          </w:tcPr>
          <w:p>
            <w:pPr>
              <w:autoSpaceDE w:val="0"/>
              <w:autoSpaceDN w:val="0"/>
              <w:adjustRightInd w:val="0"/>
              <w:ind w:right="10"/>
              <w:rPr>
                <w:color w:val="000000"/>
                <w:sz w:val="16"/>
                <w:szCs w:val="16"/>
              </w:rPr>
            </w:pPr>
            <w:r>
              <w:rPr>
                <w:color w:val="000000"/>
                <w:sz w:val="16"/>
                <w:szCs w:val="16"/>
              </w:rPr>
              <w:t>0,923</w:t>
            </w:r>
          </w:p>
        </w:tc>
        <w:tc>
          <w:tcPr>
            <w:tcW w:w="990" w:type="dxa"/>
            <w:vAlign w:val="bottom"/>
          </w:tcPr>
          <w:p>
            <w:pPr>
              <w:autoSpaceDE w:val="0"/>
              <w:autoSpaceDN w:val="0"/>
              <w:adjustRightInd w:val="0"/>
              <w:ind w:right="10"/>
              <w:jc w:val="right"/>
              <w:rPr>
                <w:color w:val="000000"/>
                <w:sz w:val="16"/>
                <w:szCs w:val="16"/>
              </w:rPr>
            </w:pPr>
            <w:r>
              <w:rPr>
                <w:color w:val="000000"/>
                <w:sz w:val="16"/>
                <w:szCs w:val="16"/>
              </w:rPr>
              <w:t>0,2687</w:t>
            </w:r>
          </w:p>
        </w:tc>
        <w:tc>
          <w:tcPr>
            <w:tcW w:w="990" w:type="dxa"/>
            <w:vAlign w:val="bottom"/>
          </w:tcPr>
          <w:p>
            <w:pPr>
              <w:autoSpaceDE w:val="0"/>
              <w:autoSpaceDN w:val="0"/>
              <w:adjustRightInd w:val="0"/>
              <w:ind w:right="10"/>
              <w:jc w:val="right"/>
              <w:rPr>
                <w:color w:val="000000"/>
                <w:sz w:val="16"/>
                <w:szCs w:val="16"/>
              </w:rPr>
            </w:pPr>
            <w:r>
              <w:rPr>
                <w:color w:val="000000"/>
                <w:sz w:val="16"/>
                <w:szCs w:val="16"/>
              </w:rPr>
              <w:t>0,069*</w:t>
            </w:r>
          </w:p>
        </w:tc>
        <w:tc>
          <w:tcPr>
            <w:tcW w:w="990" w:type="dxa"/>
            <w:gridSpan w:val="2"/>
            <w:vAlign w:val="bottom"/>
          </w:tcPr>
          <w:p>
            <w:pPr>
              <w:autoSpaceDE w:val="0"/>
              <w:autoSpaceDN w:val="0"/>
              <w:adjustRightInd w:val="0"/>
              <w:ind w:right="10"/>
              <w:jc w:val="right"/>
              <w:rPr>
                <w:color w:val="000000"/>
                <w:sz w:val="16"/>
                <w:szCs w:val="16"/>
              </w:rPr>
            </w:pPr>
            <w:r>
              <w:rPr>
                <w:color w:val="000000"/>
                <w:sz w:val="16"/>
                <w:szCs w:val="16"/>
              </w:rPr>
              <w:t>0,293</w:t>
            </w:r>
          </w:p>
        </w:tc>
        <w:tc>
          <w:tcPr>
            <w:tcW w:w="990" w:type="dxa"/>
            <w:vAlign w:val="bottom"/>
          </w:tcPr>
          <w:p>
            <w:pPr>
              <w:autoSpaceDE w:val="0"/>
              <w:autoSpaceDN w:val="0"/>
              <w:adjustRightInd w:val="0"/>
              <w:ind w:right="10"/>
              <w:jc w:val="right"/>
              <w:rPr>
                <w:color w:val="000000"/>
                <w:sz w:val="16"/>
                <w:szCs w:val="16"/>
              </w:rPr>
            </w:pPr>
            <w:r>
              <w:rPr>
                <w:color w:val="000000"/>
                <w:sz w:val="16"/>
                <w:szCs w:val="16"/>
              </w:rPr>
              <w:t>0,056*</w:t>
            </w:r>
          </w:p>
        </w:tc>
        <w:tc>
          <w:tcPr>
            <w:tcW w:w="990" w:type="dxa"/>
            <w:gridSpan w:val="2"/>
            <w:shd w:val="clear" w:color="auto" w:fill="auto"/>
            <w:vAlign w:val="bottom"/>
          </w:tcPr>
          <w:p>
            <w:pPr>
              <w:autoSpaceDE w:val="0"/>
              <w:autoSpaceDN w:val="0"/>
              <w:adjustRightInd w:val="0"/>
              <w:ind w:right="10"/>
              <w:jc w:val="right"/>
              <w:rPr>
                <w:color w:val="000000"/>
                <w:sz w:val="16"/>
                <w:szCs w:val="16"/>
              </w:rPr>
            </w:pPr>
            <w:r>
              <w:rPr>
                <w:color w:val="000000"/>
                <w:sz w:val="16"/>
                <w:szCs w:val="16"/>
              </w:rPr>
              <w:t>-0,000</w:t>
            </w:r>
          </w:p>
        </w:tc>
        <w:tc>
          <w:tcPr>
            <w:tcW w:w="1006" w:type="dxa"/>
            <w:shd w:val="clear" w:color="auto" w:fill="auto"/>
            <w:vAlign w:val="bottom"/>
          </w:tcPr>
          <w:p>
            <w:pPr>
              <w:autoSpaceDE w:val="0"/>
              <w:autoSpaceDN w:val="0"/>
              <w:adjustRightInd w:val="0"/>
              <w:ind w:right="10"/>
              <w:rPr>
                <w:color w:val="000000"/>
                <w:sz w:val="16"/>
                <w:szCs w:val="16"/>
              </w:rPr>
            </w:pPr>
            <w:r>
              <w:rPr>
                <w:color w:val="000000"/>
                <w:sz w:val="16"/>
                <w:szCs w:val="16"/>
              </w:rPr>
              <w:t>0,983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shd w:val="clear" w:color="auto" w:fill="auto"/>
          </w:tcPr>
          <w:p>
            <w:pPr>
              <w:rPr>
                <w:color w:val="000000"/>
                <w:sz w:val="16"/>
                <w:szCs w:val="16"/>
              </w:rPr>
            </w:pPr>
            <w:r>
              <w:rPr>
                <w:color w:val="000000"/>
                <w:sz w:val="16"/>
                <w:szCs w:val="16"/>
              </w:rPr>
              <w:t>Liquidity</w:t>
            </w:r>
          </w:p>
        </w:tc>
        <w:tc>
          <w:tcPr>
            <w:tcW w:w="927" w:type="dxa"/>
            <w:shd w:val="clear" w:color="auto" w:fill="auto"/>
          </w:tcPr>
          <w:p>
            <w:pPr>
              <w:rPr>
                <w:sz w:val="16"/>
                <w:szCs w:val="16"/>
              </w:rPr>
            </w:pPr>
          </w:p>
        </w:tc>
        <w:tc>
          <w:tcPr>
            <w:tcW w:w="900" w:type="dxa"/>
            <w:shd w:val="clear" w:color="auto" w:fill="auto"/>
          </w:tcPr>
          <w:p>
            <w:pPr>
              <w:rPr>
                <w:sz w:val="16"/>
                <w:szCs w:val="16"/>
              </w:rPr>
            </w:pPr>
          </w:p>
        </w:tc>
        <w:tc>
          <w:tcPr>
            <w:tcW w:w="990" w:type="dxa"/>
          </w:tcPr>
          <w:p>
            <w:pPr>
              <w:autoSpaceDE w:val="0"/>
              <w:autoSpaceDN w:val="0"/>
              <w:adjustRightInd w:val="0"/>
              <w:ind w:right="10"/>
              <w:jc w:val="right"/>
              <w:rPr>
                <w:color w:val="000000"/>
                <w:sz w:val="16"/>
                <w:szCs w:val="16"/>
              </w:rPr>
            </w:pPr>
          </w:p>
        </w:tc>
        <w:tc>
          <w:tcPr>
            <w:tcW w:w="990" w:type="dxa"/>
          </w:tcPr>
          <w:p>
            <w:pPr>
              <w:autoSpaceDE w:val="0"/>
              <w:autoSpaceDN w:val="0"/>
              <w:adjustRightInd w:val="0"/>
              <w:ind w:right="10"/>
              <w:jc w:val="right"/>
              <w:rPr>
                <w:color w:val="000000"/>
                <w:sz w:val="16"/>
                <w:szCs w:val="16"/>
              </w:rPr>
            </w:pPr>
          </w:p>
        </w:tc>
        <w:tc>
          <w:tcPr>
            <w:tcW w:w="990" w:type="dxa"/>
            <w:gridSpan w:val="2"/>
            <w:vAlign w:val="bottom"/>
          </w:tcPr>
          <w:p>
            <w:pPr>
              <w:autoSpaceDE w:val="0"/>
              <w:autoSpaceDN w:val="0"/>
              <w:adjustRightInd w:val="0"/>
              <w:ind w:right="10"/>
              <w:jc w:val="right"/>
              <w:rPr>
                <w:color w:val="000000"/>
                <w:sz w:val="16"/>
                <w:szCs w:val="16"/>
              </w:rPr>
            </w:pPr>
            <w:r>
              <w:rPr>
                <w:color w:val="000000"/>
                <w:sz w:val="16"/>
                <w:szCs w:val="16"/>
              </w:rPr>
              <w:t>0,003</w:t>
            </w:r>
          </w:p>
        </w:tc>
        <w:tc>
          <w:tcPr>
            <w:tcW w:w="990" w:type="dxa"/>
            <w:vAlign w:val="bottom"/>
          </w:tcPr>
          <w:p>
            <w:pPr>
              <w:autoSpaceDE w:val="0"/>
              <w:autoSpaceDN w:val="0"/>
              <w:adjustRightInd w:val="0"/>
              <w:ind w:right="10"/>
              <w:jc w:val="right"/>
              <w:rPr>
                <w:color w:val="000000"/>
                <w:sz w:val="16"/>
                <w:szCs w:val="16"/>
              </w:rPr>
            </w:pPr>
            <w:r>
              <w:rPr>
                <w:color w:val="000000"/>
                <w:sz w:val="16"/>
                <w:szCs w:val="16"/>
              </w:rPr>
              <w:t>0,838</w:t>
            </w:r>
          </w:p>
        </w:tc>
        <w:tc>
          <w:tcPr>
            <w:tcW w:w="990" w:type="dxa"/>
            <w:gridSpan w:val="2"/>
            <w:shd w:val="clear" w:color="auto" w:fill="auto"/>
            <w:vAlign w:val="bottom"/>
          </w:tcPr>
          <w:p>
            <w:pPr>
              <w:autoSpaceDE w:val="0"/>
              <w:autoSpaceDN w:val="0"/>
              <w:adjustRightInd w:val="0"/>
              <w:ind w:right="10"/>
              <w:jc w:val="right"/>
              <w:rPr>
                <w:color w:val="000000"/>
                <w:sz w:val="16"/>
                <w:szCs w:val="16"/>
              </w:rPr>
            </w:pPr>
            <w:r>
              <w:rPr>
                <w:color w:val="000000"/>
                <w:sz w:val="16"/>
                <w:szCs w:val="16"/>
              </w:rPr>
              <w:t>-0,000</w:t>
            </w:r>
          </w:p>
        </w:tc>
        <w:tc>
          <w:tcPr>
            <w:tcW w:w="1006" w:type="dxa"/>
            <w:shd w:val="clear" w:color="auto" w:fill="auto"/>
            <w:vAlign w:val="bottom"/>
          </w:tcPr>
          <w:p>
            <w:pPr>
              <w:autoSpaceDE w:val="0"/>
              <w:autoSpaceDN w:val="0"/>
              <w:adjustRightInd w:val="0"/>
              <w:ind w:right="10"/>
              <w:rPr>
                <w:color w:val="000000"/>
                <w:sz w:val="16"/>
                <w:szCs w:val="16"/>
              </w:rPr>
            </w:pPr>
            <w:r>
              <w:rPr>
                <w:color w:val="000000"/>
                <w:sz w:val="16"/>
                <w:szCs w:val="16"/>
              </w:rPr>
              <w:t>0,755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shd w:val="clear" w:color="auto" w:fill="auto"/>
          </w:tcPr>
          <w:p>
            <w:pPr>
              <w:rPr>
                <w:color w:val="000000"/>
                <w:sz w:val="16"/>
                <w:szCs w:val="16"/>
              </w:rPr>
            </w:pPr>
            <w:r>
              <w:rPr>
                <w:color w:val="000000"/>
                <w:sz w:val="16"/>
                <w:szCs w:val="16"/>
              </w:rPr>
              <w:t>Solvency Asset</w:t>
            </w:r>
          </w:p>
        </w:tc>
        <w:tc>
          <w:tcPr>
            <w:tcW w:w="927" w:type="dxa"/>
            <w:shd w:val="clear" w:color="auto" w:fill="auto"/>
          </w:tcPr>
          <w:p>
            <w:pPr>
              <w:rPr>
                <w:sz w:val="16"/>
                <w:szCs w:val="16"/>
              </w:rPr>
            </w:pPr>
          </w:p>
        </w:tc>
        <w:tc>
          <w:tcPr>
            <w:tcW w:w="900" w:type="dxa"/>
            <w:shd w:val="clear" w:color="auto" w:fill="auto"/>
          </w:tcPr>
          <w:p>
            <w:pPr>
              <w:rPr>
                <w:sz w:val="16"/>
                <w:szCs w:val="16"/>
              </w:rPr>
            </w:pPr>
          </w:p>
        </w:tc>
        <w:tc>
          <w:tcPr>
            <w:tcW w:w="990" w:type="dxa"/>
          </w:tcPr>
          <w:p>
            <w:pPr>
              <w:autoSpaceDE w:val="0"/>
              <w:autoSpaceDN w:val="0"/>
              <w:adjustRightInd w:val="0"/>
              <w:ind w:right="10"/>
              <w:jc w:val="right"/>
              <w:rPr>
                <w:color w:val="000000"/>
                <w:sz w:val="16"/>
                <w:szCs w:val="16"/>
              </w:rPr>
            </w:pPr>
          </w:p>
        </w:tc>
        <w:tc>
          <w:tcPr>
            <w:tcW w:w="990" w:type="dxa"/>
          </w:tcPr>
          <w:p>
            <w:pPr>
              <w:autoSpaceDE w:val="0"/>
              <w:autoSpaceDN w:val="0"/>
              <w:adjustRightInd w:val="0"/>
              <w:ind w:right="10"/>
              <w:jc w:val="right"/>
              <w:rPr>
                <w:color w:val="000000"/>
                <w:sz w:val="16"/>
                <w:szCs w:val="16"/>
              </w:rPr>
            </w:pPr>
          </w:p>
        </w:tc>
        <w:tc>
          <w:tcPr>
            <w:tcW w:w="990" w:type="dxa"/>
            <w:gridSpan w:val="2"/>
            <w:vAlign w:val="bottom"/>
          </w:tcPr>
          <w:p>
            <w:pPr>
              <w:autoSpaceDE w:val="0"/>
              <w:autoSpaceDN w:val="0"/>
              <w:adjustRightInd w:val="0"/>
              <w:ind w:right="10"/>
              <w:jc w:val="right"/>
              <w:rPr>
                <w:color w:val="000000"/>
                <w:sz w:val="16"/>
                <w:szCs w:val="16"/>
              </w:rPr>
            </w:pPr>
            <w:r>
              <w:rPr>
                <w:color w:val="000000"/>
                <w:sz w:val="16"/>
                <w:szCs w:val="16"/>
              </w:rPr>
              <w:t>0,026</w:t>
            </w:r>
          </w:p>
        </w:tc>
        <w:tc>
          <w:tcPr>
            <w:tcW w:w="990" w:type="dxa"/>
            <w:vAlign w:val="bottom"/>
          </w:tcPr>
          <w:p>
            <w:pPr>
              <w:autoSpaceDE w:val="0"/>
              <w:autoSpaceDN w:val="0"/>
              <w:adjustRightInd w:val="0"/>
              <w:ind w:right="10"/>
              <w:jc w:val="right"/>
              <w:rPr>
                <w:color w:val="000000"/>
                <w:sz w:val="16"/>
                <w:szCs w:val="16"/>
              </w:rPr>
            </w:pPr>
            <w:r>
              <w:rPr>
                <w:color w:val="000000"/>
                <w:sz w:val="16"/>
                <w:szCs w:val="16"/>
              </w:rPr>
              <w:t>0,439</w:t>
            </w:r>
          </w:p>
        </w:tc>
        <w:tc>
          <w:tcPr>
            <w:tcW w:w="990" w:type="dxa"/>
            <w:gridSpan w:val="2"/>
            <w:shd w:val="clear" w:color="auto" w:fill="auto"/>
            <w:vAlign w:val="bottom"/>
          </w:tcPr>
          <w:p>
            <w:pPr>
              <w:autoSpaceDE w:val="0"/>
              <w:autoSpaceDN w:val="0"/>
              <w:adjustRightInd w:val="0"/>
              <w:ind w:right="10"/>
              <w:jc w:val="right"/>
              <w:rPr>
                <w:color w:val="000000"/>
                <w:sz w:val="16"/>
                <w:szCs w:val="16"/>
              </w:rPr>
            </w:pPr>
            <w:r>
              <w:rPr>
                <w:color w:val="000000"/>
                <w:sz w:val="16"/>
                <w:szCs w:val="16"/>
              </w:rPr>
              <w:t>-0,002</w:t>
            </w:r>
          </w:p>
        </w:tc>
        <w:tc>
          <w:tcPr>
            <w:tcW w:w="1006" w:type="dxa"/>
            <w:shd w:val="clear" w:color="auto" w:fill="auto"/>
            <w:vAlign w:val="bottom"/>
          </w:tcPr>
          <w:p>
            <w:pPr>
              <w:autoSpaceDE w:val="0"/>
              <w:autoSpaceDN w:val="0"/>
              <w:adjustRightInd w:val="0"/>
              <w:ind w:right="10"/>
              <w:rPr>
                <w:color w:val="000000"/>
                <w:sz w:val="16"/>
                <w:szCs w:val="16"/>
              </w:rPr>
            </w:pPr>
            <w:r>
              <w:rPr>
                <w:color w:val="000000"/>
                <w:sz w:val="16"/>
                <w:szCs w:val="16"/>
              </w:rPr>
              <w:t>0,052**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shd w:val="clear" w:color="auto" w:fill="auto"/>
          </w:tcPr>
          <w:p>
            <w:pPr>
              <w:rPr>
                <w:color w:val="000000"/>
                <w:sz w:val="16"/>
                <w:szCs w:val="16"/>
              </w:rPr>
            </w:pPr>
            <w:r>
              <w:rPr>
                <w:color w:val="000000"/>
                <w:sz w:val="16"/>
                <w:szCs w:val="16"/>
              </w:rPr>
              <w:t>Solvency Equity</w:t>
            </w:r>
          </w:p>
        </w:tc>
        <w:tc>
          <w:tcPr>
            <w:tcW w:w="927" w:type="dxa"/>
            <w:shd w:val="clear" w:color="auto" w:fill="auto"/>
          </w:tcPr>
          <w:p>
            <w:pPr>
              <w:rPr>
                <w:sz w:val="16"/>
                <w:szCs w:val="16"/>
              </w:rPr>
            </w:pPr>
          </w:p>
        </w:tc>
        <w:tc>
          <w:tcPr>
            <w:tcW w:w="900" w:type="dxa"/>
            <w:shd w:val="clear" w:color="auto" w:fill="auto"/>
          </w:tcPr>
          <w:p>
            <w:pPr>
              <w:rPr>
                <w:sz w:val="16"/>
                <w:szCs w:val="16"/>
              </w:rPr>
            </w:pPr>
          </w:p>
        </w:tc>
        <w:tc>
          <w:tcPr>
            <w:tcW w:w="990" w:type="dxa"/>
          </w:tcPr>
          <w:p>
            <w:pPr>
              <w:autoSpaceDE w:val="0"/>
              <w:autoSpaceDN w:val="0"/>
              <w:adjustRightInd w:val="0"/>
              <w:ind w:right="10"/>
              <w:jc w:val="right"/>
              <w:rPr>
                <w:color w:val="000000"/>
                <w:sz w:val="16"/>
                <w:szCs w:val="16"/>
              </w:rPr>
            </w:pPr>
          </w:p>
        </w:tc>
        <w:tc>
          <w:tcPr>
            <w:tcW w:w="990" w:type="dxa"/>
          </w:tcPr>
          <w:p>
            <w:pPr>
              <w:autoSpaceDE w:val="0"/>
              <w:autoSpaceDN w:val="0"/>
              <w:adjustRightInd w:val="0"/>
              <w:ind w:right="10"/>
              <w:jc w:val="right"/>
              <w:rPr>
                <w:color w:val="000000"/>
                <w:sz w:val="16"/>
                <w:szCs w:val="16"/>
              </w:rPr>
            </w:pPr>
          </w:p>
        </w:tc>
        <w:tc>
          <w:tcPr>
            <w:tcW w:w="990" w:type="dxa"/>
            <w:gridSpan w:val="2"/>
            <w:vAlign w:val="bottom"/>
          </w:tcPr>
          <w:p>
            <w:pPr>
              <w:autoSpaceDE w:val="0"/>
              <w:autoSpaceDN w:val="0"/>
              <w:adjustRightInd w:val="0"/>
              <w:ind w:right="10"/>
              <w:jc w:val="right"/>
              <w:rPr>
                <w:color w:val="000000"/>
                <w:sz w:val="16"/>
                <w:szCs w:val="16"/>
              </w:rPr>
            </w:pPr>
            <w:r>
              <w:rPr>
                <w:color w:val="000000"/>
                <w:sz w:val="16"/>
                <w:szCs w:val="16"/>
              </w:rPr>
              <w:t>-0,002</w:t>
            </w:r>
          </w:p>
        </w:tc>
        <w:tc>
          <w:tcPr>
            <w:tcW w:w="990" w:type="dxa"/>
            <w:vAlign w:val="bottom"/>
          </w:tcPr>
          <w:p>
            <w:pPr>
              <w:autoSpaceDE w:val="0"/>
              <w:autoSpaceDN w:val="0"/>
              <w:adjustRightInd w:val="0"/>
              <w:ind w:right="10"/>
              <w:jc w:val="right"/>
              <w:rPr>
                <w:color w:val="000000"/>
                <w:sz w:val="16"/>
                <w:szCs w:val="16"/>
              </w:rPr>
            </w:pPr>
            <w:r>
              <w:rPr>
                <w:color w:val="000000"/>
                <w:sz w:val="16"/>
                <w:szCs w:val="16"/>
              </w:rPr>
              <w:t>0,905</w:t>
            </w:r>
          </w:p>
        </w:tc>
        <w:tc>
          <w:tcPr>
            <w:tcW w:w="990" w:type="dxa"/>
            <w:gridSpan w:val="2"/>
            <w:shd w:val="clear" w:color="auto" w:fill="auto"/>
            <w:vAlign w:val="bottom"/>
          </w:tcPr>
          <w:p>
            <w:pPr>
              <w:autoSpaceDE w:val="0"/>
              <w:autoSpaceDN w:val="0"/>
              <w:adjustRightInd w:val="0"/>
              <w:ind w:right="10"/>
              <w:jc w:val="right"/>
              <w:rPr>
                <w:color w:val="000000"/>
                <w:sz w:val="16"/>
                <w:szCs w:val="16"/>
              </w:rPr>
            </w:pPr>
            <w:r>
              <w:rPr>
                <w:color w:val="000000"/>
                <w:sz w:val="16"/>
                <w:szCs w:val="16"/>
              </w:rPr>
              <w:t>0,001</w:t>
            </w:r>
          </w:p>
        </w:tc>
        <w:tc>
          <w:tcPr>
            <w:tcW w:w="1006" w:type="dxa"/>
            <w:shd w:val="clear" w:color="auto" w:fill="auto"/>
            <w:vAlign w:val="bottom"/>
          </w:tcPr>
          <w:p>
            <w:pPr>
              <w:autoSpaceDE w:val="0"/>
              <w:autoSpaceDN w:val="0"/>
              <w:adjustRightInd w:val="0"/>
              <w:ind w:right="10"/>
              <w:rPr>
                <w:color w:val="000000"/>
                <w:sz w:val="16"/>
                <w:szCs w:val="16"/>
              </w:rPr>
            </w:pPr>
            <w:r>
              <w:rPr>
                <w:color w:val="000000"/>
                <w:sz w:val="16"/>
                <w:szCs w:val="16"/>
              </w:rPr>
              <w:t>0,052**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shd w:val="clear" w:color="auto" w:fill="auto"/>
          </w:tcPr>
          <w:p>
            <w:pPr>
              <w:rPr>
                <w:color w:val="000000"/>
                <w:sz w:val="16"/>
                <w:szCs w:val="16"/>
              </w:rPr>
            </w:pPr>
            <w:r>
              <w:rPr>
                <w:color w:val="000000"/>
                <w:sz w:val="16"/>
                <w:szCs w:val="16"/>
              </w:rPr>
              <w:t>Return on Assets</w:t>
            </w:r>
          </w:p>
        </w:tc>
        <w:tc>
          <w:tcPr>
            <w:tcW w:w="927" w:type="dxa"/>
            <w:shd w:val="clear" w:color="auto" w:fill="auto"/>
          </w:tcPr>
          <w:p>
            <w:pPr>
              <w:rPr>
                <w:sz w:val="16"/>
                <w:szCs w:val="16"/>
              </w:rPr>
            </w:pPr>
          </w:p>
        </w:tc>
        <w:tc>
          <w:tcPr>
            <w:tcW w:w="900" w:type="dxa"/>
            <w:shd w:val="clear" w:color="auto" w:fill="auto"/>
          </w:tcPr>
          <w:p>
            <w:pPr>
              <w:rPr>
                <w:sz w:val="16"/>
                <w:szCs w:val="16"/>
              </w:rPr>
            </w:pPr>
          </w:p>
        </w:tc>
        <w:tc>
          <w:tcPr>
            <w:tcW w:w="990" w:type="dxa"/>
          </w:tcPr>
          <w:p>
            <w:pPr>
              <w:autoSpaceDE w:val="0"/>
              <w:autoSpaceDN w:val="0"/>
              <w:adjustRightInd w:val="0"/>
              <w:ind w:right="10"/>
              <w:jc w:val="right"/>
              <w:rPr>
                <w:color w:val="000000"/>
                <w:sz w:val="16"/>
                <w:szCs w:val="16"/>
              </w:rPr>
            </w:pPr>
          </w:p>
        </w:tc>
        <w:tc>
          <w:tcPr>
            <w:tcW w:w="990" w:type="dxa"/>
          </w:tcPr>
          <w:p>
            <w:pPr>
              <w:autoSpaceDE w:val="0"/>
              <w:autoSpaceDN w:val="0"/>
              <w:adjustRightInd w:val="0"/>
              <w:ind w:right="10"/>
              <w:jc w:val="right"/>
              <w:rPr>
                <w:color w:val="000000"/>
                <w:sz w:val="16"/>
                <w:szCs w:val="16"/>
              </w:rPr>
            </w:pPr>
          </w:p>
        </w:tc>
        <w:tc>
          <w:tcPr>
            <w:tcW w:w="990" w:type="dxa"/>
            <w:gridSpan w:val="2"/>
            <w:vAlign w:val="bottom"/>
          </w:tcPr>
          <w:p>
            <w:pPr>
              <w:autoSpaceDE w:val="0"/>
              <w:autoSpaceDN w:val="0"/>
              <w:adjustRightInd w:val="0"/>
              <w:ind w:right="10"/>
              <w:jc w:val="right"/>
              <w:rPr>
                <w:color w:val="000000"/>
                <w:sz w:val="16"/>
                <w:szCs w:val="16"/>
              </w:rPr>
            </w:pPr>
            <w:r>
              <w:rPr>
                <w:color w:val="000000"/>
                <w:sz w:val="16"/>
                <w:szCs w:val="16"/>
              </w:rPr>
              <w:t>-0,151</w:t>
            </w:r>
          </w:p>
        </w:tc>
        <w:tc>
          <w:tcPr>
            <w:tcW w:w="990" w:type="dxa"/>
            <w:vAlign w:val="bottom"/>
          </w:tcPr>
          <w:p>
            <w:pPr>
              <w:autoSpaceDE w:val="0"/>
              <w:autoSpaceDN w:val="0"/>
              <w:adjustRightInd w:val="0"/>
              <w:ind w:right="10"/>
              <w:jc w:val="right"/>
              <w:rPr>
                <w:color w:val="000000"/>
                <w:sz w:val="16"/>
                <w:szCs w:val="16"/>
              </w:rPr>
            </w:pPr>
            <w:r>
              <w:rPr>
                <w:color w:val="000000"/>
                <w:sz w:val="16"/>
                <w:szCs w:val="16"/>
              </w:rPr>
              <w:t>0,091*</w:t>
            </w:r>
          </w:p>
        </w:tc>
        <w:tc>
          <w:tcPr>
            <w:tcW w:w="990" w:type="dxa"/>
            <w:gridSpan w:val="2"/>
            <w:shd w:val="clear" w:color="auto" w:fill="auto"/>
            <w:vAlign w:val="bottom"/>
          </w:tcPr>
          <w:p>
            <w:pPr>
              <w:autoSpaceDE w:val="0"/>
              <w:autoSpaceDN w:val="0"/>
              <w:adjustRightInd w:val="0"/>
              <w:ind w:right="10"/>
              <w:jc w:val="right"/>
              <w:rPr>
                <w:color w:val="000000"/>
                <w:sz w:val="16"/>
                <w:szCs w:val="16"/>
              </w:rPr>
            </w:pPr>
            <w:r>
              <w:rPr>
                <w:color w:val="000000"/>
                <w:sz w:val="16"/>
                <w:szCs w:val="16"/>
              </w:rPr>
              <w:t>0,004</w:t>
            </w:r>
          </w:p>
        </w:tc>
        <w:tc>
          <w:tcPr>
            <w:tcW w:w="1006" w:type="dxa"/>
            <w:shd w:val="clear" w:color="auto" w:fill="auto"/>
            <w:vAlign w:val="bottom"/>
          </w:tcPr>
          <w:p>
            <w:pPr>
              <w:autoSpaceDE w:val="0"/>
              <w:autoSpaceDN w:val="0"/>
              <w:adjustRightInd w:val="0"/>
              <w:ind w:right="10"/>
              <w:rPr>
                <w:color w:val="000000"/>
                <w:sz w:val="16"/>
                <w:szCs w:val="16"/>
              </w:rPr>
            </w:pPr>
            <w:r>
              <w:rPr>
                <w:color w:val="000000"/>
                <w:sz w:val="16"/>
                <w:szCs w:val="16"/>
              </w:rPr>
              <w:t>0,118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gridAfter w:val="1"/>
          <w:wAfter w:w="32" w:type="dxa"/>
          <w:jc w:val="center"/>
        </w:trPr>
        <w:tc>
          <w:tcPr>
            <w:tcW w:w="2223" w:type="dxa"/>
            <w:shd w:val="clear" w:color="auto" w:fill="auto"/>
          </w:tcPr>
          <w:p>
            <w:pPr>
              <w:rPr>
                <w:color w:val="000000"/>
                <w:sz w:val="16"/>
                <w:szCs w:val="16"/>
              </w:rPr>
            </w:pPr>
            <w:r>
              <w:rPr>
                <w:color w:val="000000"/>
                <w:sz w:val="16"/>
                <w:szCs w:val="16"/>
              </w:rPr>
              <w:t>Return on Equity</w:t>
            </w:r>
          </w:p>
        </w:tc>
        <w:tc>
          <w:tcPr>
            <w:tcW w:w="927" w:type="dxa"/>
            <w:shd w:val="clear" w:color="auto" w:fill="auto"/>
          </w:tcPr>
          <w:p>
            <w:pPr>
              <w:rPr>
                <w:sz w:val="16"/>
                <w:szCs w:val="16"/>
              </w:rPr>
            </w:pPr>
          </w:p>
        </w:tc>
        <w:tc>
          <w:tcPr>
            <w:tcW w:w="900" w:type="dxa"/>
            <w:shd w:val="clear" w:color="auto" w:fill="auto"/>
          </w:tcPr>
          <w:p>
            <w:pPr>
              <w:rPr>
                <w:sz w:val="16"/>
                <w:szCs w:val="16"/>
              </w:rPr>
            </w:pPr>
          </w:p>
        </w:tc>
        <w:tc>
          <w:tcPr>
            <w:tcW w:w="990" w:type="dxa"/>
          </w:tcPr>
          <w:p>
            <w:pPr>
              <w:autoSpaceDE w:val="0"/>
              <w:autoSpaceDN w:val="0"/>
              <w:adjustRightInd w:val="0"/>
              <w:ind w:right="10"/>
              <w:jc w:val="right"/>
              <w:rPr>
                <w:color w:val="000000"/>
                <w:sz w:val="16"/>
                <w:szCs w:val="16"/>
              </w:rPr>
            </w:pPr>
          </w:p>
        </w:tc>
        <w:tc>
          <w:tcPr>
            <w:tcW w:w="990" w:type="dxa"/>
          </w:tcPr>
          <w:p>
            <w:pPr>
              <w:autoSpaceDE w:val="0"/>
              <w:autoSpaceDN w:val="0"/>
              <w:adjustRightInd w:val="0"/>
              <w:ind w:right="10"/>
              <w:jc w:val="right"/>
              <w:rPr>
                <w:color w:val="000000"/>
                <w:sz w:val="16"/>
                <w:szCs w:val="16"/>
              </w:rPr>
            </w:pPr>
          </w:p>
        </w:tc>
        <w:tc>
          <w:tcPr>
            <w:tcW w:w="990" w:type="dxa"/>
            <w:gridSpan w:val="2"/>
            <w:vAlign w:val="bottom"/>
          </w:tcPr>
          <w:p>
            <w:pPr>
              <w:autoSpaceDE w:val="0"/>
              <w:autoSpaceDN w:val="0"/>
              <w:adjustRightInd w:val="0"/>
              <w:ind w:right="10"/>
              <w:jc w:val="right"/>
              <w:rPr>
                <w:color w:val="000000"/>
                <w:sz w:val="16"/>
                <w:szCs w:val="16"/>
              </w:rPr>
            </w:pPr>
            <w:r>
              <w:rPr>
                <w:color w:val="000000"/>
                <w:sz w:val="16"/>
                <w:szCs w:val="16"/>
              </w:rPr>
              <w:t>0,033</w:t>
            </w:r>
          </w:p>
        </w:tc>
        <w:tc>
          <w:tcPr>
            <w:tcW w:w="990" w:type="dxa"/>
            <w:vAlign w:val="bottom"/>
          </w:tcPr>
          <w:p>
            <w:pPr>
              <w:autoSpaceDE w:val="0"/>
              <w:autoSpaceDN w:val="0"/>
              <w:adjustRightInd w:val="0"/>
              <w:ind w:right="10"/>
              <w:jc w:val="right"/>
              <w:rPr>
                <w:color w:val="000000"/>
                <w:sz w:val="16"/>
                <w:szCs w:val="16"/>
              </w:rPr>
            </w:pPr>
            <w:r>
              <w:rPr>
                <w:color w:val="000000"/>
                <w:sz w:val="16"/>
                <w:szCs w:val="16"/>
              </w:rPr>
              <w:t>0,247</w:t>
            </w:r>
          </w:p>
        </w:tc>
        <w:tc>
          <w:tcPr>
            <w:tcW w:w="990" w:type="dxa"/>
            <w:gridSpan w:val="2"/>
            <w:shd w:val="clear" w:color="auto" w:fill="auto"/>
            <w:vAlign w:val="bottom"/>
          </w:tcPr>
          <w:p>
            <w:pPr>
              <w:autoSpaceDE w:val="0"/>
              <w:autoSpaceDN w:val="0"/>
              <w:adjustRightInd w:val="0"/>
              <w:ind w:right="10"/>
              <w:jc w:val="right"/>
              <w:rPr>
                <w:color w:val="000000"/>
                <w:sz w:val="16"/>
                <w:szCs w:val="16"/>
              </w:rPr>
            </w:pPr>
            <w:r>
              <w:rPr>
                <w:color w:val="000000"/>
                <w:sz w:val="16"/>
                <w:szCs w:val="16"/>
              </w:rPr>
              <w:t>-0,001</w:t>
            </w:r>
          </w:p>
        </w:tc>
        <w:tc>
          <w:tcPr>
            <w:tcW w:w="1006" w:type="dxa"/>
            <w:shd w:val="clear" w:color="auto" w:fill="auto"/>
            <w:vAlign w:val="bottom"/>
          </w:tcPr>
          <w:p>
            <w:pPr>
              <w:autoSpaceDE w:val="0"/>
              <w:autoSpaceDN w:val="0"/>
              <w:adjustRightInd w:val="0"/>
              <w:ind w:right="10"/>
              <w:rPr>
                <w:color w:val="000000"/>
                <w:sz w:val="16"/>
                <w:szCs w:val="16"/>
              </w:rPr>
            </w:pPr>
            <w:r>
              <w:rPr>
                <w:color w:val="000000"/>
                <w:sz w:val="16"/>
                <w:szCs w:val="16"/>
              </w:rPr>
              <w:t>0,359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23" w:type="dxa"/>
            <w:shd w:val="clear" w:color="auto" w:fill="auto"/>
          </w:tcPr>
          <w:p>
            <w:pPr>
              <w:rPr>
                <w:sz w:val="16"/>
                <w:szCs w:val="16"/>
              </w:rPr>
            </w:pPr>
            <w:r>
              <w:rPr>
                <w:sz w:val="16"/>
                <w:szCs w:val="16"/>
              </w:rPr>
              <w:t>R</w:t>
            </w:r>
            <w:r>
              <w:rPr>
                <w:sz w:val="16"/>
                <w:szCs w:val="16"/>
                <w:vertAlign w:val="superscript"/>
              </w:rPr>
              <w:t>2</w:t>
            </w:r>
          </w:p>
        </w:tc>
        <w:tc>
          <w:tcPr>
            <w:tcW w:w="1827" w:type="dxa"/>
            <w:gridSpan w:val="2"/>
            <w:shd w:val="clear" w:color="auto" w:fill="auto"/>
          </w:tcPr>
          <w:p>
            <w:pPr>
              <w:jc w:val="center"/>
              <w:rPr>
                <w:sz w:val="16"/>
                <w:szCs w:val="16"/>
              </w:rPr>
            </w:pPr>
            <w:r>
              <w:rPr>
                <w:color w:val="000000"/>
                <w:sz w:val="16"/>
                <w:szCs w:val="16"/>
              </w:rPr>
              <w:t>0,127</w:t>
            </w:r>
          </w:p>
        </w:tc>
        <w:tc>
          <w:tcPr>
            <w:tcW w:w="1996" w:type="dxa"/>
            <w:gridSpan w:val="3"/>
            <w:shd w:val="clear" w:color="auto" w:fill="auto"/>
            <w:vAlign w:val="bottom"/>
          </w:tcPr>
          <w:p>
            <w:pPr>
              <w:autoSpaceDE w:val="0"/>
              <w:autoSpaceDN w:val="0"/>
              <w:adjustRightInd w:val="0"/>
              <w:ind w:right="10"/>
              <w:jc w:val="center"/>
              <w:rPr>
                <w:color w:val="000000"/>
                <w:sz w:val="16"/>
                <w:szCs w:val="16"/>
              </w:rPr>
            </w:pPr>
            <w:r>
              <w:rPr>
                <w:color w:val="000000"/>
                <w:sz w:val="16"/>
                <w:szCs w:val="16"/>
              </w:rPr>
              <w:t>0,317</w:t>
            </w:r>
          </w:p>
        </w:tc>
        <w:tc>
          <w:tcPr>
            <w:tcW w:w="1996" w:type="dxa"/>
            <w:gridSpan w:val="3"/>
          </w:tcPr>
          <w:p>
            <w:pPr>
              <w:autoSpaceDE w:val="0"/>
              <w:autoSpaceDN w:val="0"/>
              <w:adjustRightInd w:val="0"/>
              <w:ind w:right="10"/>
              <w:jc w:val="center"/>
              <w:rPr>
                <w:color w:val="000000"/>
                <w:sz w:val="16"/>
                <w:szCs w:val="16"/>
              </w:rPr>
            </w:pPr>
            <w:r>
              <w:rPr>
                <w:color w:val="000000"/>
                <w:sz w:val="16"/>
                <w:szCs w:val="16"/>
              </w:rPr>
              <w:t>0,111</w:t>
            </w:r>
          </w:p>
        </w:tc>
        <w:tc>
          <w:tcPr>
            <w:tcW w:w="1996" w:type="dxa"/>
            <w:gridSpan w:val="3"/>
            <w:vAlign w:val="bottom"/>
          </w:tcPr>
          <w:p>
            <w:pPr>
              <w:autoSpaceDE w:val="0"/>
              <w:autoSpaceDN w:val="0"/>
              <w:adjustRightInd w:val="0"/>
              <w:ind w:right="10"/>
              <w:jc w:val="center"/>
              <w:rPr>
                <w:color w:val="000000"/>
                <w:sz w:val="16"/>
                <w:szCs w:val="16"/>
              </w:rPr>
            </w:pPr>
            <w:r>
              <w:rPr>
                <w:color w:val="000000"/>
                <w:sz w:val="16"/>
                <w:szCs w:val="16"/>
              </w:rPr>
              <w:t>0,239</w:t>
            </w:r>
          </w:p>
        </w:tc>
      </w:tr>
      <w:bookmarkEnd w:id="1"/>
    </w:tbl>
    <w:p>
      <w:pPr>
        <w:ind w:left="-360" w:right="-360"/>
        <w:jc w:val="both"/>
        <w:rPr>
          <w:color w:val="000000"/>
          <w:sz w:val="16"/>
          <w:szCs w:val="16"/>
        </w:rPr>
      </w:pPr>
      <w:bookmarkStart w:id="2" w:name="_30j0zll" w:colFirst="0" w:colLast="0"/>
      <w:bookmarkEnd w:id="2"/>
      <w:r>
        <w:rPr>
          <w:i/>
          <w:color w:val="000000"/>
          <w:sz w:val="16"/>
          <w:szCs w:val="16"/>
        </w:rPr>
        <w:t xml:space="preserve">Return </w:t>
      </w:r>
      <w:r>
        <w:rPr>
          <w:color w:val="000000"/>
          <w:sz w:val="16"/>
          <w:szCs w:val="16"/>
        </w:rPr>
        <w:t>stock either profit or loss derived from stock</w:t>
      </w:r>
      <w:r>
        <w:rPr>
          <w:i/>
          <w:color w:val="000000"/>
          <w:sz w:val="16"/>
          <w:szCs w:val="16"/>
        </w:rPr>
        <w:t xml:space="preserve"> investments. Returns </w:t>
      </w:r>
      <w:r>
        <w:rPr>
          <w:color w:val="000000"/>
          <w:sz w:val="16"/>
          <w:szCs w:val="16"/>
        </w:rPr>
        <w:t xml:space="preserve">Stock derived from the difference between the stock prices of the current to the previous period. Trading volume data uses trading volume data on the secondary market from the first day of trade. Liquidity uses the current ratio of RL = current assets / current debt. Asset Solvency is a Debt Ratio that compares total debt (total liabilities) with assets owned. Equity Solvency explains the relative portion between equity and debt used to finance company assets. Debt to Equity Ratio (DER) compares the total liabilities with equity. ROA </w:t>
      </w:r>
      <w:r>
        <w:rPr>
          <w:i/>
          <w:color w:val="000000"/>
          <w:sz w:val="16"/>
          <w:szCs w:val="16"/>
        </w:rPr>
        <w:t>(return</w:t>
      </w:r>
      <w:r>
        <w:rPr>
          <w:color w:val="000000"/>
          <w:sz w:val="16"/>
          <w:szCs w:val="16"/>
        </w:rPr>
        <w:t xml:space="preserve"> on assets) refers to the profitability </w:t>
      </w:r>
      <w:r>
        <w:rPr>
          <w:i/>
          <w:color w:val="000000"/>
          <w:sz w:val="16"/>
          <w:szCs w:val="16"/>
        </w:rPr>
        <w:t xml:space="preserve">(profitability) </w:t>
      </w:r>
      <w:r>
        <w:rPr>
          <w:color w:val="000000"/>
          <w:sz w:val="16"/>
          <w:szCs w:val="16"/>
        </w:rPr>
        <w:t xml:space="preserve">and operational efficiency </w:t>
      </w:r>
      <w:r>
        <w:rPr>
          <w:i/>
          <w:color w:val="000000"/>
          <w:sz w:val="16"/>
          <w:szCs w:val="16"/>
        </w:rPr>
        <w:t xml:space="preserve">(operational efficiency). </w:t>
      </w:r>
      <w:r>
        <w:rPr>
          <w:color w:val="000000"/>
          <w:sz w:val="16"/>
          <w:szCs w:val="16"/>
        </w:rPr>
        <w:t xml:space="preserve">ROA was calculated by net income / total assets, while </w:t>
      </w:r>
      <w:r>
        <w:rPr>
          <w:color w:val="000000"/>
          <w:sz w:val="16"/>
          <w:szCs w:val="16"/>
          <w:highlight w:val="white"/>
        </w:rPr>
        <w:t xml:space="preserve">ROE is calculated with net income / total equity. </w:t>
      </w:r>
      <w:r>
        <w:rPr>
          <w:color w:val="000000"/>
          <w:sz w:val="16"/>
          <w:szCs w:val="16"/>
        </w:rPr>
        <w:t>The sign *** = significant at the 1% level, ** = significant at the 5% level, and * = significant at the 10% level.</w:t>
      </w:r>
    </w:p>
    <w:p>
      <w:pPr>
        <w:ind w:firstLine="720"/>
        <w:jc w:val="both"/>
        <w:rPr>
          <w:color w:val="000000"/>
          <w:sz w:val="22"/>
          <w:szCs w:val="22"/>
        </w:rPr>
      </w:pPr>
    </w:p>
    <w:p>
      <w:pPr>
        <w:ind w:right="77" w:firstLine="227"/>
        <w:jc w:val="both"/>
        <w:rPr>
          <w:color w:val="000000"/>
          <w:sz w:val="22"/>
          <w:szCs w:val="22"/>
        </w:rPr>
      </w:pPr>
      <w:r>
        <w:rPr>
          <w:color w:val="000000"/>
          <w:sz w:val="22"/>
          <w:szCs w:val="22"/>
        </w:rPr>
        <w:t xml:space="preserve">The results showed that the first model neutral sentiments had no effect on </w:t>
      </w:r>
      <w:r>
        <w:rPr>
          <w:i/>
          <w:color w:val="000000"/>
          <w:sz w:val="22"/>
          <w:szCs w:val="22"/>
        </w:rPr>
        <w:t xml:space="preserve">returns </w:t>
      </w:r>
      <w:r>
        <w:rPr>
          <w:color w:val="000000"/>
          <w:sz w:val="22"/>
          <w:szCs w:val="22"/>
        </w:rPr>
        <w:t xml:space="preserve">stock, which is indicated by the inability for neutral sentiment to affect the brand image, as well as the company reputation. Furthermore, the affiliated information on Instagram was observed not to encourage the determinants of investors buying or selling actions. These are known to affect stock price movements, which is why </w:t>
      </w:r>
      <w:r>
        <w:rPr>
          <w:i/>
          <w:color w:val="000000"/>
          <w:sz w:val="22"/>
          <w:szCs w:val="22"/>
        </w:rPr>
        <w:t xml:space="preserve">returns </w:t>
      </w:r>
      <w:r>
        <w:rPr>
          <w:color w:val="000000"/>
          <w:sz w:val="22"/>
          <w:szCs w:val="22"/>
        </w:rPr>
        <w:t xml:space="preserve">from stocks do not demonstrate an increase or decrease. Meanwhile, the second model shows the inclusion of the control variable in the model; hence, it is established that the neutral sentiment has a significant effect on </w:t>
      </w:r>
      <w:r>
        <w:rPr>
          <w:i/>
          <w:color w:val="000000"/>
          <w:sz w:val="22"/>
          <w:szCs w:val="22"/>
        </w:rPr>
        <w:t xml:space="preserve">returns </w:t>
      </w:r>
      <w:r>
        <w:rPr>
          <w:color w:val="000000"/>
          <w:sz w:val="22"/>
          <w:szCs w:val="22"/>
        </w:rPr>
        <w:t xml:space="preserve">stock. This indicates that the inclusion of other information influences the effect of neutral sentiment on the </w:t>
      </w:r>
      <w:r>
        <w:rPr>
          <w:i/>
          <w:color w:val="000000"/>
          <w:sz w:val="22"/>
          <w:szCs w:val="22"/>
        </w:rPr>
        <w:t>brand image</w:t>
      </w:r>
      <w:r>
        <w:rPr>
          <w:color w:val="000000"/>
          <w:sz w:val="22"/>
          <w:szCs w:val="22"/>
        </w:rPr>
        <w:t xml:space="preserve"> and reputation of a company. Furthermore, the related information on Instagram was observed to have encouraged the determination of investors towards buying and selling actions that possibly affect the movement of stock prices; thus, </w:t>
      </w:r>
      <w:r>
        <w:rPr>
          <w:i/>
          <w:color w:val="000000"/>
          <w:sz w:val="22"/>
          <w:szCs w:val="22"/>
        </w:rPr>
        <w:t xml:space="preserve">returns </w:t>
      </w:r>
      <w:r>
        <w:rPr>
          <w:color w:val="000000"/>
          <w:sz w:val="22"/>
          <w:szCs w:val="22"/>
        </w:rPr>
        <w:t>also increase or decrease.</w:t>
      </w:r>
    </w:p>
    <w:p>
      <w:pPr>
        <w:ind w:right="77" w:firstLine="227"/>
        <w:jc w:val="both"/>
        <w:rPr>
          <w:color w:val="000000"/>
          <w:sz w:val="22"/>
          <w:szCs w:val="22"/>
        </w:rPr>
      </w:pPr>
      <w:r>
        <w:rPr>
          <w:color w:val="000000"/>
          <w:sz w:val="22"/>
          <w:szCs w:val="22"/>
        </w:rPr>
        <w:t xml:space="preserve">The results of subsequent studies indicate that negative sentiment does not affect </w:t>
      </w:r>
      <w:r>
        <w:rPr>
          <w:i/>
          <w:color w:val="000000"/>
          <w:sz w:val="22"/>
          <w:szCs w:val="22"/>
        </w:rPr>
        <w:t xml:space="preserve">returns </w:t>
      </w:r>
      <w:r>
        <w:rPr>
          <w:color w:val="000000"/>
          <w:sz w:val="22"/>
          <w:szCs w:val="22"/>
        </w:rPr>
        <w:t xml:space="preserve">stock in the first model, although this is encouraged by the inclusion of some information in the second model. These results support the research conducted by Chen (2014) and He (2016), while Ranco, (2015) reported the effect of negative sentiment on the reduction of CAR in 30 shares of companies listed on DJIA. Furthermore, the results of this current investigation indicate the influence of the negative sentiment observed on Instagram on the rise in stock prices, which subsequently increases the value of </w:t>
      </w:r>
      <w:r>
        <w:rPr>
          <w:i/>
          <w:color w:val="000000"/>
          <w:sz w:val="22"/>
          <w:szCs w:val="22"/>
        </w:rPr>
        <w:t xml:space="preserve">returns </w:t>
      </w:r>
      <w:r>
        <w:rPr>
          <w:color w:val="000000"/>
          <w:sz w:val="22"/>
          <w:szCs w:val="22"/>
        </w:rPr>
        <w:t xml:space="preserve">stock, therefore demonstrating the irrational behaviour of investors. Based on the results, it is also established that investors at the time of the IPO desire more short-term profits, and are more vulnerable to stock frying, hence, the upsurge in the number of shares on the first day on the secondary market that enter the ARA limit, followed by a drop again 3 days after, which touches the ARB. This is,, therefore, the cause of the IPO share price increase, in the presence of a negative sentiment, due to the fact that investors often hunt for short-term profits. Conversely, the positive sentiment in the first and second model illustrates the absence of any influence on </w:t>
      </w:r>
      <w:r>
        <w:rPr>
          <w:i/>
          <w:color w:val="000000"/>
          <w:sz w:val="22"/>
          <w:szCs w:val="22"/>
        </w:rPr>
        <w:t xml:space="preserve">returns </w:t>
      </w:r>
      <w:r>
        <w:rPr>
          <w:color w:val="000000"/>
          <w:sz w:val="22"/>
          <w:szCs w:val="22"/>
        </w:rPr>
        <w:t xml:space="preserve">stock. This indicates the inability for the positive information on Instagram to encourage changes in stock prices. Thus </w:t>
      </w:r>
      <w:r>
        <w:rPr>
          <w:i/>
          <w:color w:val="000000"/>
          <w:sz w:val="22"/>
          <w:szCs w:val="22"/>
        </w:rPr>
        <w:t>returns</w:t>
      </w:r>
      <w:r>
        <w:rPr>
          <w:color w:val="000000"/>
          <w:sz w:val="22"/>
          <w:szCs w:val="22"/>
        </w:rPr>
        <w:t xml:space="preserve"> from shares are unaffected. Also, this occurs because investors tend to take advantage of the positive sentiments that day, and no significant effect was found towards returns, which confirms that investors are not affected. </w:t>
      </w:r>
    </w:p>
    <w:p>
      <w:pPr>
        <w:ind w:right="80" w:firstLine="227"/>
        <w:jc w:val="both"/>
        <w:rPr>
          <w:color w:val="000000"/>
          <w:sz w:val="22"/>
          <w:szCs w:val="22"/>
        </w:rPr>
      </w:pPr>
      <w:r>
        <w:rPr>
          <w:color w:val="000000"/>
          <w:sz w:val="22"/>
          <w:szCs w:val="22"/>
        </w:rPr>
        <w:t>The results showed that neutral sentiment on Instagram had no effect on stock trading volume, both in the third and fourth models, indicating the inability to affect the increase or decrease in market stock prices. Furthermore, the absence of changes in prices causes investors not to take action on buying or selling shares, hence, there is no change in the trading volume, and the market does not react. Meanwhile, a negative sentiment that appears on Instagram in the third and fourth model is seen to harm stock trading volumes which indicates the investors tendency to take advantage of the situation, and make transactions during a rise in stock price, in order to consequently sell shares and avoid deeper losses. Furthermore, the high activity performed causes a rise in the volume of stock trading, demonstrating the influence of negative sentiment on Instagram on the particular day. This was in line with research conducted by Joseph (2011), which stated the effect of high sentiment on trade volume.</w:t>
      </w:r>
    </w:p>
    <w:p>
      <w:pPr>
        <w:ind w:firstLine="227"/>
        <w:jc w:val="both"/>
        <w:rPr>
          <w:color w:val="000000"/>
          <w:sz w:val="22"/>
          <w:szCs w:val="22"/>
        </w:rPr>
      </w:pPr>
      <w:r>
        <w:rPr>
          <w:color w:val="000000"/>
          <w:sz w:val="22"/>
          <w:szCs w:val="22"/>
        </w:rPr>
        <w:t xml:space="preserve">The results of subsequent studies indicate the influence of positive sentiment on Instagram on the increasing volume of stock trading in the third and fourth models. This prompts an increase in investor activity in the aspect of making transactions, thus taking advantage of the situation, in order to obtain the highest </w:t>
      </w:r>
      <w:r>
        <w:rPr>
          <w:i/>
          <w:color w:val="000000"/>
          <w:sz w:val="22"/>
          <w:szCs w:val="22"/>
        </w:rPr>
        <w:t xml:space="preserve">return, </w:t>
      </w:r>
      <w:r>
        <w:rPr>
          <w:color w:val="000000"/>
          <w:sz w:val="22"/>
          <w:szCs w:val="22"/>
        </w:rPr>
        <w:t>subsequently leading to an increase in stock market trading volume. The results support the findings of Joseph (2011), which stipulated the influence of positive sentiments on the volume of stock trading.</w:t>
      </w:r>
    </w:p>
    <w:p>
      <w:pPr>
        <w:jc w:val="both"/>
        <w:rPr>
          <w:color w:val="000000"/>
          <w:sz w:val="24"/>
          <w:szCs w:val="24"/>
        </w:rPr>
      </w:pPr>
      <w:r>
        <w:rPr>
          <w:b/>
          <w:color w:val="000000"/>
          <w:sz w:val="24"/>
          <w:szCs w:val="24"/>
        </w:rPr>
        <w:t>4. CONCLUSION</w:t>
      </w:r>
    </w:p>
    <w:p>
      <w:pPr>
        <w:ind w:firstLine="420"/>
        <w:jc w:val="both"/>
        <w:rPr>
          <w:color w:val="000000"/>
          <w:sz w:val="22"/>
          <w:szCs w:val="22"/>
        </w:rPr>
      </w:pPr>
      <w:r>
        <w:rPr>
          <w:color w:val="000000"/>
          <w:sz w:val="22"/>
          <w:szCs w:val="22"/>
        </w:rPr>
        <w:t xml:space="preserve">Based on the results and discussion, the results showed the inability for the neutral sentiment on Instagram to affect the stock trading volume, while both negative and positive had adifferent effect. Furthermore, they collectively did not influence </w:t>
      </w:r>
      <w:r>
        <w:rPr>
          <w:i/>
          <w:color w:val="000000"/>
          <w:sz w:val="22"/>
          <w:szCs w:val="22"/>
        </w:rPr>
        <w:t xml:space="preserve">returns </w:t>
      </w:r>
      <w:r>
        <w:rPr>
          <w:color w:val="000000"/>
          <w:sz w:val="22"/>
          <w:szCs w:val="22"/>
        </w:rPr>
        <w:t>stock.</w:t>
      </w:r>
    </w:p>
    <w:p>
      <w:pPr>
        <w:ind w:firstLine="420"/>
        <w:jc w:val="both"/>
        <w:rPr>
          <w:color w:val="000000"/>
          <w:sz w:val="22"/>
          <w:szCs w:val="22"/>
        </w:rPr>
      </w:pPr>
      <w:r>
        <w:rPr>
          <w:color w:val="000000"/>
          <w:sz w:val="22"/>
          <w:szCs w:val="22"/>
        </w:rPr>
        <w:t>The limitation of this study is observed in the constraint of examining investor sentiment only on Instagram. Hence, future research ought to investigate other social media.</w:t>
      </w:r>
    </w:p>
    <w:p>
      <w:pPr>
        <w:jc w:val="both"/>
        <w:rPr>
          <w:color w:val="000000"/>
          <w:sz w:val="22"/>
          <w:szCs w:val="22"/>
        </w:rPr>
      </w:pPr>
    </w:p>
    <w:p>
      <w:pPr>
        <w:ind w:firstLine="420"/>
        <w:jc w:val="both"/>
        <w:rPr>
          <w:color w:val="000000"/>
          <w:sz w:val="22"/>
          <w:szCs w:val="22"/>
        </w:rPr>
      </w:pPr>
      <w:r>
        <w:rPr>
          <w:b/>
          <w:color w:val="000000"/>
          <w:sz w:val="22"/>
          <w:szCs w:val="22"/>
        </w:rPr>
        <w:t>REFERENCES</w:t>
      </w:r>
    </w:p>
    <w:p>
      <w:pPr>
        <w:jc w:val="both"/>
        <w:rPr>
          <w:color w:val="000000"/>
          <w:sz w:val="22"/>
          <w:szCs w:val="22"/>
        </w:rPr>
      </w:pPr>
    </w:p>
    <w:p>
      <w:pPr>
        <w:autoSpaceDE w:val="0"/>
        <w:autoSpaceDN w:val="0"/>
        <w:adjustRightInd w:val="0"/>
        <w:ind w:left="720" w:hanging="720"/>
        <w:jc w:val="both"/>
        <w:rPr>
          <w:lang w:val="en-US"/>
        </w:rPr>
      </w:pPr>
      <w:r>
        <w:rPr>
          <w:lang w:val="en-US"/>
        </w:rPr>
        <w:t xml:space="preserve">ALEXANDER, R. M. &amp; GENTRY, J. K. 2014. Using social media to report financial results. </w:t>
      </w:r>
      <w:r>
        <w:rPr>
          <w:i/>
          <w:iCs/>
          <w:lang w:val="en-US"/>
        </w:rPr>
        <w:t>Business Horizons,</w:t>
      </w:r>
      <w:r>
        <w:rPr>
          <w:lang w:val="en-US"/>
        </w:rPr>
        <w:t xml:space="preserve"> 57</w:t>
      </w:r>
      <w:r>
        <w:rPr>
          <w:b/>
          <w:bCs/>
          <w:lang w:val="en-US"/>
        </w:rPr>
        <w:t>,</w:t>
      </w:r>
      <w:r>
        <w:rPr>
          <w:lang w:val="en-US"/>
        </w:rPr>
        <w:t xml:space="preserve"> 161-167.</w:t>
      </w:r>
    </w:p>
    <w:p>
      <w:pPr>
        <w:autoSpaceDE w:val="0"/>
        <w:autoSpaceDN w:val="0"/>
        <w:adjustRightInd w:val="0"/>
        <w:ind w:left="720" w:hanging="720"/>
        <w:jc w:val="both"/>
        <w:rPr>
          <w:lang w:val="en-US"/>
        </w:rPr>
      </w:pPr>
      <w:r>
        <w:rPr>
          <w:lang w:val="en-US"/>
        </w:rPr>
        <w:t xml:space="preserve">ALI, H. 2018. Twitter, Investor Sentiment and Capital Markets: What Do We Know? </w:t>
      </w:r>
      <w:r>
        <w:rPr>
          <w:i/>
          <w:iCs/>
          <w:lang w:val="en-US"/>
        </w:rPr>
        <w:t>Available at SSRN 3230304</w:t>
      </w:r>
      <w:r>
        <w:rPr>
          <w:lang w:val="en-US"/>
        </w:rPr>
        <w:t>.</w:t>
      </w:r>
    </w:p>
    <w:p>
      <w:pPr>
        <w:autoSpaceDE w:val="0"/>
        <w:autoSpaceDN w:val="0"/>
        <w:adjustRightInd w:val="0"/>
        <w:ind w:left="720" w:hanging="720"/>
        <w:jc w:val="both"/>
        <w:rPr>
          <w:lang w:val="en-US"/>
        </w:rPr>
      </w:pPr>
      <w:r>
        <w:rPr>
          <w:lang w:val="en-US"/>
        </w:rPr>
        <w:t xml:space="preserve">BOLLEN, J., MAO, H. &amp; ZENG, X. 2011. Twitter mood predicts the stock market. </w:t>
      </w:r>
      <w:r>
        <w:rPr>
          <w:i/>
          <w:iCs/>
          <w:lang w:val="en-US"/>
        </w:rPr>
        <w:t>Journal of computational science,</w:t>
      </w:r>
      <w:r>
        <w:rPr>
          <w:lang w:val="en-US"/>
        </w:rPr>
        <w:t xml:space="preserve"> 2</w:t>
      </w:r>
      <w:r>
        <w:rPr>
          <w:b/>
          <w:bCs/>
          <w:lang w:val="en-US"/>
        </w:rPr>
        <w:t>,</w:t>
      </w:r>
      <w:r>
        <w:rPr>
          <w:lang w:val="en-US"/>
        </w:rPr>
        <w:t xml:space="preserve"> 1-8.</w:t>
      </w:r>
    </w:p>
    <w:p>
      <w:pPr>
        <w:autoSpaceDE w:val="0"/>
        <w:autoSpaceDN w:val="0"/>
        <w:adjustRightInd w:val="0"/>
        <w:ind w:left="720" w:hanging="720"/>
        <w:jc w:val="both"/>
        <w:rPr>
          <w:lang w:val="en-US"/>
        </w:rPr>
      </w:pPr>
      <w:r>
        <w:rPr>
          <w:lang w:val="en-US"/>
        </w:rPr>
        <w:t xml:space="preserve">CADE, N. L. 2018. Corporate social media: How two-way disclosure channels influence investors. </w:t>
      </w:r>
      <w:r>
        <w:rPr>
          <w:i/>
          <w:iCs/>
          <w:lang w:val="en-US"/>
        </w:rPr>
        <w:t>Accounting, Organizations and Society,</w:t>
      </w:r>
      <w:r>
        <w:rPr>
          <w:lang w:val="en-US"/>
        </w:rPr>
        <w:t xml:space="preserve"> 68</w:t>
      </w:r>
      <w:r>
        <w:rPr>
          <w:b/>
          <w:bCs/>
          <w:lang w:val="en-US"/>
        </w:rPr>
        <w:t>,</w:t>
      </w:r>
      <w:r>
        <w:rPr>
          <w:lang w:val="en-US"/>
        </w:rPr>
        <w:t xml:space="preserve"> 63-79.</w:t>
      </w:r>
    </w:p>
    <w:p>
      <w:pPr>
        <w:autoSpaceDE w:val="0"/>
        <w:autoSpaceDN w:val="0"/>
        <w:adjustRightInd w:val="0"/>
        <w:ind w:left="720" w:hanging="720"/>
        <w:jc w:val="both"/>
        <w:rPr>
          <w:lang w:val="en-US"/>
        </w:rPr>
      </w:pPr>
      <w:r>
        <w:rPr>
          <w:lang w:val="en-US"/>
        </w:rPr>
        <w:t xml:space="preserve">CHEN, H., DE, P., HU, Y. J. &amp; HWANG, B.-H. 2014. Wisdom of crowds: The value of stock opinions transmitted through social media. </w:t>
      </w:r>
      <w:r>
        <w:rPr>
          <w:i/>
          <w:iCs/>
          <w:lang w:val="en-US"/>
        </w:rPr>
        <w:t>The Review of Financial Studies,</w:t>
      </w:r>
      <w:r>
        <w:rPr>
          <w:lang w:val="en-US"/>
        </w:rPr>
        <w:t xml:space="preserve"> 27</w:t>
      </w:r>
      <w:r>
        <w:rPr>
          <w:b/>
          <w:bCs/>
          <w:lang w:val="en-US"/>
        </w:rPr>
        <w:t>,</w:t>
      </w:r>
      <w:r>
        <w:rPr>
          <w:lang w:val="en-US"/>
        </w:rPr>
        <w:t xml:space="preserve"> 1367-1403.</w:t>
      </w:r>
    </w:p>
    <w:p>
      <w:pPr>
        <w:autoSpaceDE w:val="0"/>
        <w:autoSpaceDN w:val="0"/>
        <w:adjustRightInd w:val="0"/>
        <w:ind w:left="720" w:hanging="720"/>
        <w:jc w:val="both"/>
        <w:rPr>
          <w:lang w:val="en-US"/>
        </w:rPr>
      </w:pPr>
      <w:r>
        <w:rPr>
          <w:lang w:val="en-US"/>
        </w:rPr>
        <w:t xml:space="preserve">COVIELLO, L., SOHN, Y., KRAMER, A. D., MARLOW, C., FRANCESCHETTI, M., CHRISTAKIS, N. A. &amp; FOWLER, J. H. 2014. Detecting emotional contagion in massive social networks. </w:t>
      </w:r>
      <w:r>
        <w:rPr>
          <w:i/>
          <w:iCs/>
          <w:lang w:val="en-US"/>
        </w:rPr>
        <w:t>PloS one,</w:t>
      </w:r>
      <w:r>
        <w:rPr>
          <w:lang w:val="en-US"/>
        </w:rPr>
        <w:t xml:space="preserve"> 9</w:t>
      </w:r>
      <w:r>
        <w:rPr>
          <w:b/>
          <w:bCs/>
          <w:lang w:val="en-US"/>
        </w:rPr>
        <w:t>,</w:t>
      </w:r>
      <w:r>
        <w:rPr>
          <w:lang w:val="en-US"/>
        </w:rPr>
        <w:t xml:space="preserve"> e90315.</w:t>
      </w:r>
    </w:p>
    <w:p>
      <w:pPr>
        <w:autoSpaceDE w:val="0"/>
        <w:autoSpaceDN w:val="0"/>
        <w:adjustRightInd w:val="0"/>
        <w:ind w:left="720" w:hanging="720"/>
        <w:jc w:val="both"/>
        <w:rPr>
          <w:lang w:val="en-US"/>
        </w:rPr>
      </w:pPr>
      <w:r>
        <w:rPr>
          <w:lang w:val="en-US"/>
        </w:rPr>
        <w:t xml:space="preserve">ELLIOTT, W. B., GRANT, S. M. &amp; HODGE, F. D. 2018. Negative news and investor trust: The role of $ Firm and# CEO Twitter use. </w:t>
      </w:r>
      <w:r>
        <w:rPr>
          <w:i/>
          <w:iCs/>
          <w:lang w:val="en-US"/>
        </w:rPr>
        <w:t>Journal of Accounting Research,</w:t>
      </w:r>
      <w:r>
        <w:rPr>
          <w:lang w:val="en-US"/>
        </w:rPr>
        <w:t xml:space="preserve"> 56</w:t>
      </w:r>
      <w:r>
        <w:rPr>
          <w:b/>
          <w:bCs/>
          <w:lang w:val="en-US"/>
        </w:rPr>
        <w:t>,</w:t>
      </w:r>
      <w:r>
        <w:rPr>
          <w:lang w:val="en-US"/>
        </w:rPr>
        <w:t xml:space="preserve"> 1483-1519.</w:t>
      </w:r>
    </w:p>
    <w:p>
      <w:pPr>
        <w:autoSpaceDE w:val="0"/>
        <w:autoSpaceDN w:val="0"/>
        <w:adjustRightInd w:val="0"/>
        <w:ind w:left="720" w:hanging="720"/>
        <w:jc w:val="both"/>
        <w:rPr>
          <w:lang w:val="en-US"/>
        </w:rPr>
      </w:pPr>
      <w:r>
        <w:rPr>
          <w:lang w:val="en-US"/>
        </w:rPr>
        <w:t xml:space="preserve">HE, W., GUO, L., SHEN, J. &amp; AKULA, V. 2016. Social media-based forecasting: A case study of tweets and stock prices in the financial services industry. </w:t>
      </w:r>
      <w:r>
        <w:rPr>
          <w:i/>
          <w:iCs/>
          <w:lang w:val="en-US"/>
        </w:rPr>
        <w:t>Journal of Organizational and End User Computing (JOEUC),</w:t>
      </w:r>
      <w:r>
        <w:rPr>
          <w:lang w:val="en-US"/>
        </w:rPr>
        <w:t xml:space="preserve"> 28</w:t>
      </w:r>
      <w:r>
        <w:rPr>
          <w:b/>
          <w:bCs/>
          <w:lang w:val="en-US"/>
        </w:rPr>
        <w:t>,</w:t>
      </w:r>
      <w:r>
        <w:rPr>
          <w:lang w:val="en-US"/>
        </w:rPr>
        <w:t xml:space="preserve"> 74-91.</w:t>
      </w:r>
    </w:p>
    <w:p>
      <w:pPr>
        <w:autoSpaceDE w:val="0"/>
        <w:autoSpaceDN w:val="0"/>
        <w:adjustRightInd w:val="0"/>
        <w:ind w:left="720" w:hanging="720"/>
        <w:jc w:val="both"/>
        <w:rPr>
          <w:lang w:val="en-US"/>
        </w:rPr>
      </w:pPr>
      <w:r>
        <w:rPr>
          <w:lang w:val="en-US"/>
        </w:rPr>
        <w:t xml:space="preserve">HIRSHLEIFER, D. &amp; TEOH, S. H. 2009. Thought and behavior contagion in capital markets. </w:t>
      </w:r>
      <w:r>
        <w:rPr>
          <w:i/>
          <w:iCs/>
          <w:lang w:val="en-US"/>
        </w:rPr>
        <w:t>Handbook of financial markets: Dynamics and evolution.</w:t>
      </w:r>
      <w:r>
        <w:rPr>
          <w:lang w:val="en-US"/>
        </w:rPr>
        <w:t xml:space="preserve"> Elsevier.</w:t>
      </w:r>
    </w:p>
    <w:p>
      <w:pPr>
        <w:autoSpaceDE w:val="0"/>
        <w:autoSpaceDN w:val="0"/>
        <w:adjustRightInd w:val="0"/>
        <w:ind w:left="720" w:hanging="720"/>
        <w:jc w:val="both"/>
        <w:rPr>
          <w:lang w:val="en-US"/>
        </w:rPr>
      </w:pPr>
      <w:r>
        <w:rPr>
          <w:lang w:val="en-US"/>
        </w:rPr>
        <w:t xml:space="preserve">JAZIRI, M. &amp; ABDELHEDI, M. 2018. Islamic occasions and investor sentiment. </w:t>
      </w:r>
      <w:r>
        <w:rPr>
          <w:i/>
          <w:iCs/>
          <w:lang w:val="en-US"/>
        </w:rPr>
        <w:t>International Journal of Islamic and Middle Eastern Finance and Management,</w:t>
      </w:r>
      <w:r>
        <w:rPr>
          <w:lang w:val="en-US"/>
        </w:rPr>
        <w:t xml:space="preserve"> 11</w:t>
      </w:r>
      <w:r>
        <w:rPr>
          <w:b/>
          <w:bCs/>
          <w:lang w:val="en-US"/>
        </w:rPr>
        <w:t>,</w:t>
      </w:r>
      <w:r>
        <w:rPr>
          <w:lang w:val="en-US"/>
        </w:rPr>
        <w:t xml:space="preserve"> 194-212.</w:t>
      </w:r>
    </w:p>
    <w:p>
      <w:pPr>
        <w:autoSpaceDE w:val="0"/>
        <w:autoSpaceDN w:val="0"/>
        <w:adjustRightInd w:val="0"/>
        <w:ind w:left="720" w:hanging="720"/>
        <w:jc w:val="both"/>
        <w:rPr>
          <w:lang w:val="en-US"/>
        </w:rPr>
      </w:pPr>
      <w:r>
        <w:rPr>
          <w:lang w:val="en-US"/>
        </w:rPr>
        <w:t xml:space="preserve">JOSEPH, K., WINTOKI, M. B. &amp; ZHANG, Z. 2011. Forecasting abnormal stock returns and trading volume using investor sentiment: Evidence from online search. </w:t>
      </w:r>
      <w:r>
        <w:rPr>
          <w:i/>
          <w:iCs/>
          <w:lang w:val="en-US"/>
        </w:rPr>
        <w:t>International Journal of Forecasting,</w:t>
      </w:r>
      <w:r>
        <w:rPr>
          <w:lang w:val="en-US"/>
        </w:rPr>
        <w:t xml:space="preserve"> 27</w:t>
      </w:r>
      <w:r>
        <w:rPr>
          <w:b/>
          <w:bCs/>
          <w:lang w:val="en-US"/>
        </w:rPr>
        <w:t>,</w:t>
      </w:r>
      <w:r>
        <w:rPr>
          <w:lang w:val="en-US"/>
        </w:rPr>
        <w:t xml:space="preserve"> 1116-1127.</w:t>
      </w:r>
    </w:p>
    <w:p>
      <w:pPr>
        <w:autoSpaceDE w:val="0"/>
        <w:autoSpaceDN w:val="0"/>
        <w:adjustRightInd w:val="0"/>
        <w:ind w:left="720" w:hanging="720"/>
        <w:jc w:val="both"/>
        <w:rPr>
          <w:lang w:val="en-US"/>
        </w:rPr>
      </w:pPr>
      <w:r>
        <w:rPr>
          <w:lang w:val="en-US"/>
        </w:rPr>
        <w:t xml:space="preserve">KRAMER, A. D., GUILLORY, J. E. &amp; HANCOCK, J. T. 2014. Experimental evidence of massive-scale emotional contagion through social networks. </w:t>
      </w:r>
      <w:r>
        <w:rPr>
          <w:i/>
          <w:iCs/>
          <w:lang w:val="en-US"/>
        </w:rPr>
        <w:t>Proceedings of the National Academy of Sciences,</w:t>
      </w:r>
      <w:r>
        <w:rPr>
          <w:lang w:val="en-US"/>
        </w:rPr>
        <w:t xml:space="preserve"> 111</w:t>
      </w:r>
      <w:r>
        <w:rPr>
          <w:b/>
          <w:bCs/>
          <w:lang w:val="en-US"/>
        </w:rPr>
        <w:t>,</w:t>
      </w:r>
      <w:r>
        <w:rPr>
          <w:lang w:val="en-US"/>
        </w:rPr>
        <w:t xml:space="preserve"> 8788-8790.</w:t>
      </w:r>
    </w:p>
    <w:p>
      <w:pPr>
        <w:autoSpaceDE w:val="0"/>
        <w:autoSpaceDN w:val="0"/>
        <w:adjustRightInd w:val="0"/>
        <w:ind w:left="720" w:hanging="720"/>
        <w:jc w:val="both"/>
        <w:rPr>
          <w:lang w:val="en-US"/>
        </w:rPr>
      </w:pPr>
      <w:r>
        <w:rPr>
          <w:lang w:val="en-US"/>
        </w:rPr>
        <w:t xml:space="preserve">KRAMERA, A. D., GUILLORYB, J. E. &amp; HANCOCKB, J. T. 2014. Editorial Expression of Concern and Correction. </w:t>
      </w:r>
      <w:r>
        <w:rPr>
          <w:i/>
          <w:iCs/>
          <w:lang w:val="en-US"/>
        </w:rPr>
        <w:t>PNAS,</w:t>
      </w:r>
      <w:r>
        <w:rPr>
          <w:lang w:val="en-US"/>
        </w:rPr>
        <w:t xml:space="preserve"> 111</w:t>
      </w:r>
      <w:r>
        <w:rPr>
          <w:b/>
          <w:bCs/>
          <w:lang w:val="en-US"/>
        </w:rPr>
        <w:t>,</w:t>
      </w:r>
      <w:r>
        <w:rPr>
          <w:lang w:val="en-US"/>
        </w:rPr>
        <w:t xml:space="preserve"> 10779.</w:t>
      </w:r>
    </w:p>
    <w:p>
      <w:pPr>
        <w:autoSpaceDE w:val="0"/>
        <w:autoSpaceDN w:val="0"/>
        <w:adjustRightInd w:val="0"/>
        <w:ind w:left="720" w:hanging="720"/>
        <w:jc w:val="both"/>
        <w:rPr>
          <w:lang w:val="en-US"/>
        </w:rPr>
      </w:pPr>
      <w:r>
        <w:rPr>
          <w:lang w:val="en-US"/>
        </w:rPr>
        <w:t>MICHAEL, L. &amp; OTTERBACHER, J. Write like I write: Herding in the language of online reviews.  Eighth International AAAI Conference on Weblogs and Social Media, 2014.</w:t>
      </w:r>
    </w:p>
    <w:p>
      <w:pPr>
        <w:autoSpaceDE w:val="0"/>
        <w:autoSpaceDN w:val="0"/>
        <w:adjustRightInd w:val="0"/>
        <w:ind w:left="720" w:hanging="720"/>
        <w:jc w:val="both"/>
        <w:rPr>
          <w:lang w:val="en-US"/>
        </w:rPr>
      </w:pPr>
      <w:r>
        <w:rPr>
          <w:lang w:val="en-US"/>
        </w:rPr>
        <w:t xml:space="preserve">MUCHNIK, L., ARAL, S. &amp; TAYLOR, S. J. 2013. Social influence bias: A randomized experiment. </w:t>
      </w:r>
      <w:r>
        <w:rPr>
          <w:i/>
          <w:iCs/>
          <w:lang w:val="en-US"/>
        </w:rPr>
        <w:t>Science,</w:t>
      </w:r>
      <w:r>
        <w:rPr>
          <w:lang w:val="en-US"/>
        </w:rPr>
        <w:t xml:space="preserve"> 341</w:t>
      </w:r>
      <w:r>
        <w:rPr>
          <w:b/>
          <w:bCs/>
          <w:lang w:val="en-US"/>
        </w:rPr>
        <w:t>,</w:t>
      </w:r>
      <w:r>
        <w:rPr>
          <w:lang w:val="en-US"/>
        </w:rPr>
        <w:t xml:space="preserve"> 647-651.</w:t>
      </w:r>
    </w:p>
    <w:p>
      <w:pPr>
        <w:autoSpaceDE w:val="0"/>
        <w:autoSpaceDN w:val="0"/>
        <w:adjustRightInd w:val="0"/>
        <w:ind w:left="720" w:hanging="720"/>
        <w:jc w:val="both"/>
        <w:rPr>
          <w:lang w:val="en-US"/>
        </w:rPr>
      </w:pPr>
      <w:r>
        <w:rPr>
          <w:lang w:val="en-US"/>
        </w:rPr>
        <w:t xml:space="preserve">NOFER, M. &amp; HINZ, O. 2015. Using twitter to predict the stock market. </w:t>
      </w:r>
      <w:r>
        <w:rPr>
          <w:i/>
          <w:iCs/>
          <w:lang w:val="en-US"/>
        </w:rPr>
        <w:t>Business &amp; Information Systems Engineering,</w:t>
      </w:r>
      <w:r>
        <w:rPr>
          <w:lang w:val="en-US"/>
        </w:rPr>
        <w:t xml:space="preserve"> 57</w:t>
      </w:r>
      <w:r>
        <w:rPr>
          <w:b/>
          <w:bCs/>
          <w:lang w:val="en-US"/>
        </w:rPr>
        <w:t>,</w:t>
      </w:r>
      <w:r>
        <w:rPr>
          <w:lang w:val="en-US"/>
        </w:rPr>
        <w:t xml:space="preserve"> 229-242.</w:t>
      </w:r>
    </w:p>
    <w:p>
      <w:pPr>
        <w:autoSpaceDE w:val="0"/>
        <w:autoSpaceDN w:val="0"/>
        <w:adjustRightInd w:val="0"/>
        <w:ind w:left="720" w:hanging="720"/>
        <w:jc w:val="both"/>
        <w:rPr>
          <w:lang w:val="en-US"/>
        </w:rPr>
      </w:pPr>
      <w:r>
        <w:rPr>
          <w:lang w:val="en-US"/>
        </w:rPr>
        <w:t>NUSSBAUMER, P., MATTER, I., SLEMBEK, I. &amp; SCHWABE, G. Information search behavior of investors and the role of advisory services.  ECIS, 2011. 46.</w:t>
      </w:r>
    </w:p>
    <w:p>
      <w:pPr>
        <w:autoSpaceDE w:val="0"/>
        <w:autoSpaceDN w:val="0"/>
        <w:adjustRightInd w:val="0"/>
        <w:ind w:left="720" w:hanging="720"/>
        <w:jc w:val="both"/>
        <w:rPr>
          <w:lang w:val="en-US"/>
        </w:rPr>
      </w:pPr>
      <w:r>
        <w:rPr>
          <w:lang w:val="en-US"/>
        </w:rPr>
        <w:t xml:space="preserve">RANCO, G., ALEKSOVSKI, D., CALDARELLI, G., GRČAR, M. &amp; MOZETIČ, I. 2015. The effects of Twitter sentiment on stock price returns. </w:t>
      </w:r>
      <w:r>
        <w:rPr>
          <w:i/>
          <w:iCs/>
          <w:lang w:val="en-US"/>
        </w:rPr>
        <w:t>PloS one,</w:t>
      </w:r>
      <w:r>
        <w:rPr>
          <w:lang w:val="en-US"/>
        </w:rPr>
        <w:t xml:space="preserve"> 10</w:t>
      </w:r>
      <w:r>
        <w:rPr>
          <w:b/>
          <w:bCs/>
          <w:lang w:val="en-US"/>
        </w:rPr>
        <w:t>,</w:t>
      </w:r>
      <w:r>
        <w:rPr>
          <w:lang w:val="en-US"/>
        </w:rPr>
        <w:t xml:space="preserve"> e0138441.</w:t>
      </w:r>
    </w:p>
    <w:p>
      <w:pPr>
        <w:autoSpaceDE w:val="0"/>
        <w:autoSpaceDN w:val="0"/>
        <w:adjustRightInd w:val="0"/>
        <w:ind w:left="720" w:hanging="720"/>
        <w:jc w:val="both"/>
        <w:rPr>
          <w:lang w:val="en-US"/>
        </w:rPr>
      </w:pPr>
      <w:r>
        <w:rPr>
          <w:lang w:val="en-US"/>
        </w:rPr>
        <w:t xml:space="preserve">SATTAR CHAUDHRY, A. &amp; ALANSARI, H. 2013. Use of electronic and digital information by investment professionals in Kuwait. </w:t>
      </w:r>
      <w:r>
        <w:rPr>
          <w:i/>
          <w:iCs/>
          <w:lang w:val="en-US"/>
        </w:rPr>
        <w:t>Library Review,</w:t>
      </w:r>
      <w:r>
        <w:rPr>
          <w:lang w:val="en-US"/>
        </w:rPr>
        <w:t xml:space="preserve"> 62</w:t>
      </w:r>
      <w:r>
        <w:rPr>
          <w:b/>
          <w:bCs/>
          <w:lang w:val="en-US"/>
        </w:rPr>
        <w:t>,</w:t>
      </w:r>
      <w:r>
        <w:rPr>
          <w:lang w:val="en-US"/>
        </w:rPr>
        <w:t xml:space="preserve"> 157-176.</w:t>
      </w:r>
    </w:p>
    <w:p>
      <w:pPr>
        <w:autoSpaceDE w:val="0"/>
        <w:autoSpaceDN w:val="0"/>
        <w:adjustRightInd w:val="0"/>
        <w:ind w:left="720" w:hanging="720"/>
        <w:jc w:val="both"/>
        <w:rPr>
          <w:lang w:val="en-US"/>
        </w:rPr>
      </w:pPr>
      <w:r>
        <w:rPr>
          <w:lang w:val="en-US"/>
        </w:rPr>
        <w:t xml:space="preserve">SHARMA, D. S. 2006. Effects of professional and non-professional investors’ perceptions of board effectiveness on their judgments: An experimental study. </w:t>
      </w:r>
      <w:r>
        <w:rPr>
          <w:i/>
          <w:iCs/>
          <w:lang w:val="en-US"/>
        </w:rPr>
        <w:t>Journal of Accounting and Public Policy,</w:t>
      </w:r>
      <w:r>
        <w:rPr>
          <w:lang w:val="en-US"/>
        </w:rPr>
        <w:t xml:space="preserve"> 25</w:t>
      </w:r>
      <w:r>
        <w:rPr>
          <w:b/>
          <w:bCs/>
          <w:lang w:val="en-US"/>
        </w:rPr>
        <w:t>,</w:t>
      </w:r>
      <w:r>
        <w:rPr>
          <w:lang w:val="en-US"/>
        </w:rPr>
        <w:t xml:space="preserve"> 91-115.</w:t>
      </w:r>
    </w:p>
    <w:p>
      <w:pPr>
        <w:autoSpaceDE w:val="0"/>
        <w:autoSpaceDN w:val="0"/>
        <w:adjustRightInd w:val="0"/>
        <w:ind w:left="720" w:hanging="720"/>
        <w:jc w:val="both"/>
        <w:rPr>
          <w:lang w:val="en-US"/>
        </w:rPr>
      </w:pPr>
      <w:r>
        <w:rPr>
          <w:lang w:val="en-US"/>
        </w:rPr>
        <w:t xml:space="preserve">STEWART, G. L. &amp; SHEFRIN, H. 2000. </w:t>
      </w:r>
      <w:r>
        <w:rPr>
          <w:i/>
          <w:iCs/>
          <w:lang w:val="en-US"/>
        </w:rPr>
        <w:t>Beyond Greed and Fear: Understanding Behavioral Finance and the Psychology of Investing</w:t>
      </w:r>
      <w:r>
        <w:rPr>
          <w:lang w:val="en-US"/>
        </w:rPr>
        <w:t>, Oxford University Press.</w:t>
      </w:r>
    </w:p>
    <w:p>
      <w:pPr>
        <w:autoSpaceDE w:val="0"/>
        <w:autoSpaceDN w:val="0"/>
        <w:adjustRightInd w:val="0"/>
        <w:ind w:left="720" w:hanging="720"/>
        <w:jc w:val="both"/>
        <w:rPr>
          <w:lang w:val="en-US"/>
        </w:rPr>
      </w:pPr>
      <w:r>
        <w:rPr>
          <w:lang w:val="en-US"/>
        </w:rPr>
        <w:t xml:space="preserve">TAUNI, M. Z., RAO, Z.-U.-R., FANG, H.-X. &amp; GAO, M. 2017. Does investor personality moderate the relationship between information sources and trading behavior? Evidence from Chinese stock market. </w:t>
      </w:r>
      <w:r>
        <w:rPr>
          <w:i/>
          <w:iCs/>
          <w:lang w:val="en-US"/>
        </w:rPr>
        <w:t>Managerial Finance,</w:t>
      </w:r>
      <w:r>
        <w:rPr>
          <w:lang w:val="en-US"/>
        </w:rPr>
        <w:t xml:space="preserve"> 43</w:t>
      </w:r>
      <w:r>
        <w:rPr>
          <w:b/>
          <w:bCs/>
          <w:lang w:val="en-US"/>
        </w:rPr>
        <w:t>,</w:t>
      </w:r>
      <w:r>
        <w:rPr>
          <w:lang w:val="en-US"/>
        </w:rPr>
        <w:t xml:space="preserve"> 545-566.</w:t>
      </w:r>
    </w:p>
    <w:p>
      <w:pPr>
        <w:autoSpaceDE w:val="0"/>
        <w:autoSpaceDN w:val="0"/>
        <w:adjustRightInd w:val="0"/>
        <w:ind w:left="720" w:hanging="720"/>
        <w:jc w:val="both"/>
        <w:rPr>
          <w:rFonts w:ascii="Segoe UI" w:hAnsi="Segoe UI" w:cs="Segoe UI"/>
          <w:sz w:val="18"/>
          <w:szCs w:val="18"/>
          <w:lang w:val="en-US"/>
        </w:rPr>
      </w:pPr>
      <w:r>
        <w:rPr>
          <w:lang w:val="en-US"/>
        </w:rPr>
        <w:t xml:space="preserve">TRINKLE, B. S., CROSSLER, R. E. &amp; BÉLANGER, F. 2015. Voluntary disclosures via social media and the role of comments. </w:t>
      </w:r>
      <w:r>
        <w:rPr>
          <w:i/>
          <w:iCs/>
          <w:lang w:val="en-US"/>
        </w:rPr>
        <w:t>Journal of Information Systems,</w:t>
      </w:r>
      <w:r>
        <w:rPr>
          <w:lang w:val="en-US"/>
        </w:rPr>
        <w:t xml:space="preserve"> 29</w:t>
      </w:r>
      <w:r>
        <w:rPr>
          <w:b/>
          <w:bCs/>
          <w:lang w:val="en-US"/>
        </w:rPr>
        <w:t>,</w:t>
      </w:r>
      <w:r>
        <w:rPr>
          <w:lang w:val="en-US"/>
        </w:rPr>
        <w:t xml:space="preserve"> 101-121.</w:t>
      </w:r>
    </w:p>
    <w:p>
      <w:pPr>
        <w:jc w:val="both"/>
        <w:rPr>
          <w:color w:val="000000"/>
          <w:sz w:val="22"/>
          <w:szCs w:val="22"/>
        </w:rPr>
      </w:pPr>
    </w:p>
    <w:p/>
    <w:sectPr>
      <w:type w:val="continuous"/>
      <w:pgSz w:w="11907" w:h="16840"/>
      <w:pgMar w:top="1411" w:right="1699" w:bottom="1699" w:left="1699" w:header="0" w:footer="0" w:gutter="0"/>
      <w:cols w:equalWidth="0" w:num="1">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5BDE"/>
    <w:multiLevelType w:val="multilevel"/>
    <w:tmpl w:val="25375BDE"/>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M7cwNjA2sTQzMzVX0lEKTi0uzszPAykwrgUA4QnuHSwAAAA="/>
  </w:docVars>
  <w:rsids>
    <w:rsidRoot w:val="007B7032"/>
    <w:rsid w:val="001358A8"/>
    <w:rsid w:val="003A6839"/>
    <w:rsid w:val="007B7032"/>
    <w:rsid w:val="00927297"/>
    <w:rsid w:val="00C16900"/>
    <w:rsid w:val="00D201BE"/>
    <w:rsid w:val="00E7001C"/>
    <w:rsid w:val="00FD107E"/>
    <w:rsid w:val="00FE67EF"/>
    <w:rsid w:val="4CF03155"/>
    <w:rsid w:val="4D3D7C9B"/>
    <w:rsid w:val="5C22224C"/>
    <w:rsid w:val="6ABE2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lang w:val="en" w:eastAsia="en-US" w:bidi="ar-SA"/>
    </w:rPr>
  </w:style>
  <w:style w:type="paragraph" w:styleId="2">
    <w:name w:val="heading 1"/>
    <w:basedOn w:val="1"/>
    <w:next w:val="1"/>
    <w:link w:val="8"/>
    <w:qFormat/>
    <w:uiPriority w:val="9"/>
    <w:pPr>
      <w:keepNext/>
      <w:keepLines/>
      <w:outlineLvl w:val="0"/>
    </w:pPr>
    <w:rPr>
      <w:rFonts w:eastAsiaTheme="majorEastAsia" w:cstheme="majorBidi"/>
      <w:b/>
      <w:bCs/>
      <w:szCs w:val="28"/>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uiPriority w:val="99"/>
    <w:pPr>
      <w:spacing w:after="0" w:line="240" w:lineRule="auto"/>
    </w:pPr>
    <w:rPr>
      <w:rFonts w:ascii="Tahoma" w:hAnsi="Tahoma" w:cs="Tahoma"/>
      <w:sz w:val="16"/>
      <w:szCs w:val="16"/>
    </w:rPr>
  </w:style>
  <w:style w:type="paragraph" w:styleId="4">
    <w:name w:val="annotation text"/>
    <w:basedOn w:val="1"/>
    <w:semiHidden/>
    <w:unhideWhenUsed/>
    <w:uiPriority w:val="99"/>
  </w:style>
  <w:style w:type="character" w:styleId="6">
    <w:name w:val="annotation reference"/>
    <w:basedOn w:val="5"/>
    <w:semiHidden/>
    <w:unhideWhenUsed/>
    <w:uiPriority w:val="99"/>
    <w:rPr>
      <w:sz w:val="16"/>
      <w:szCs w:val="16"/>
    </w:rPr>
  </w:style>
  <w:style w:type="character" w:customStyle="1" w:styleId="8">
    <w:name w:val="Heading 1 Char"/>
    <w:basedOn w:val="5"/>
    <w:link w:val="2"/>
    <w:uiPriority w:val="9"/>
    <w:rPr>
      <w:rFonts w:eastAsiaTheme="majorEastAsia" w:cstheme="majorBidi"/>
      <w:b/>
      <w:bCs/>
      <w:color w:val="000000" w:themeColor="text1"/>
      <w:sz w:val="24"/>
      <w:lang w:val="id-ID" w:eastAsia="id-ID"/>
      <w14:textFill>
        <w14:solidFill>
          <w14:schemeClr w14:val="tx1"/>
        </w14:solidFill>
      </w14:textFill>
    </w:rPr>
  </w:style>
  <w:style w:type="character" w:customStyle="1" w:styleId="9">
    <w:name w:val="Balloon Text Char"/>
    <w:basedOn w:val="5"/>
    <w:link w:val="3"/>
    <w:semiHidden/>
    <w:uiPriority w:val="99"/>
    <w:rPr>
      <w:rFonts w:ascii="Tahoma" w:hAnsi="Tahoma" w:eastAsia="Times New Roman" w:cs="Tahoma"/>
      <w:sz w:val="16"/>
      <w:szCs w:val="16"/>
      <w:lang w:val="e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2418</Words>
  <Characters>13788</Characters>
  <Lines>114</Lines>
  <Paragraphs>32</Paragraphs>
  <TotalTime>0</TotalTime>
  <ScaleCrop>false</ScaleCrop>
  <LinksUpToDate>false</LinksUpToDate>
  <CharactersWithSpaces>16174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2019-11-04T19:03:00Z</dcterms:created>
  <dc:creator>Editor</dc:creator>
  <cp:lastModifiedBy>Editor</cp:lastModifiedBy>
  <dcterms:modified xsi:type="dcterms:W3CDTF">2019-11-05T05:27:10Z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