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4" w:rsidRDefault="007D4B21" w:rsidP="007D4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JARAK DAN JUMLAH MINIMARKET MODERN </w:t>
      </w:r>
      <w:proofErr w:type="gramStart"/>
      <w:r>
        <w:rPr>
          <w:rFonts w:ascii="Times New Roman" w:hAnsi="Times New Roman" w:cs="Times New Roman"/>
          <w:sz w:val="24"/>
          <w:szCs w:val="24"/>
        </w:rPr>
        <w:t>TERHADAP  WARUNG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TRADISIONAL DI KECAMATAN KEDAMAIAN BANDAR LAMPUNG</w:t>
      </w:r>
    </w:p>
    <w:p w:rsidR="007D4B21" w:rsidRDefault="007D4B21" w:rsidP="007D4B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Falutvi</w:t>
      </w:r>
      <w:proofErr w:type="spellEnd"/>
    </w:p>
    <w:p w:rsidR="007D4B21" w:rsidRDefault="007D4B21" w:rsidP="007D4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21" w:rsidRDefault="007D4B21" w:rsidP="007D4B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535158" w:rsidRDefault="007D4B21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target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15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Bandar Lampung.</w:t>
      </w:r>
      <w:proofErr w:type="gram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51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OLS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minimarket modern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minimarket modern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535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158" w:rsidRDefault="00535158" w:rsidP="007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Minimarket,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</w:p>
    <w:p w:rsidR="00535158" w:rsidRDefault="00535158" w:rsidP="007D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158" w:rsidRDefault="00535158" w:rsidP="007D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158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C90A2B" w:rsidRDefault="0002732C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modern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menghawatirkan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</w:t>
      </w:r>
      <w:r w:rsidR="00C90A2B">
        <w:rPr>
          <w:rFonts w:ascii="Times New Roman" w:hAnsi="Times New Roman" w:cs="Times New Roman"/>
          <w:sz w:val="24"/>
          <w:szCs w:val="24"/>
        </w:rPr>
        <w:t>ebut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diperjualbelikan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minimarket modern.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minimarket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di nominal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terentu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berhadiah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2B">
        <w:rPr>
          <w:rFonts w:ascii="Times New Roman" w:hAnsi="Times New Roman" w:cs="Times New Roman"/>
          <w:sz w:val="24"/>
          <w:szCs w:val="24"/>
        </w:rPr>
        <w:t>menggiurkan</w:t>
      </w:r>
      <w:proofErr w:type="spellEnd"/>
      <w:r w:rsidR="00C90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2B" w:rsidRPr="00944E7E" w:rsidRDefault="00C90A2B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proofErr w:type="gramStart"/>
      <w:r w:rsidR="00A4306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6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A4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Mujahid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44E7E">
        <w:rPr>
          <w:rFonts w:ascii="Times New Roman" w:hAnsi="Times New Roman" w:cs="Times New Roman"/>
          <w:sz w:val="24"/>
          <w:szCs w:val="24"/>
        </w:rPr>
        <w:t>utup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lama.</w:t>
      </w:r>
      <w:proofErr w:type="gram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4E7E">
        <w:rPr>
          <w:rFonts w:ascii="Times New Roman" w:hAnsi="Times New Roman" w:cs="Times New Roman"/>
          <w:sz w:val="24"/>
          <w:szCs w:val="24"/>
        </w:rPr>
        <w:t>Listihana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r w:rsidR="00944E7E">
        <w:rPr>
          <w:rFonts w:ascii="Times New Roman" w:hAnsi="Times New Roman" w:cs="Times New Roman"/>
          <w:i/>
          <w:sz w:val="24"/>
          <w:szCs w:val="24"/>
        </w:rPr>
        <w:t xml:space="preserve">et.al </w:t>
      </w:r>
      <w:r w:rsidR="00944E7E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17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BE7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minimarket di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Rumbai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Rumbai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44E7E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944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B2" w:rsidRPr="00D67750" w:rsidRDefault="00176BE7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No.79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Minimarket di Kota Yogyakarta.</w:t>
      </w:r>
      <w:proofErr w:type="gramEnd"/>
      <w:r w:rsidR="005C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73AF">
        <w:rPr>
          <w:rFonts w:ascii="Times New Roman" w:hAnsi="Times New Roman" w:cs="Times New Roman"/>
          <w:sz w:val="24"/>
          <w:szCs w:val="24"/>
        </w:rPr>
        <w:t>Balqis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Kota Padang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5C73AF">
        <w:rPr>
          <w:rFonts w:ascii="Times New Roman" w:hAnsi="Times New Roman" w:cs="Times New Roman"/>
          <w:sz w:val="24"/>
          <w:szCs w:val="24"/>
        </w:rPr>
        <w:t>berjaring</w:t>
      </w:r>
      <w:proofErr w:type="spellEnd"/>
      <w:r w:rsidR="005C73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1B2">
        <w:rPr>
          <w:rFonts w:ascii="Times New Roman" w:hAnsi="Times New Roman" w:cs="Times New Roman"/>
          <w:sz w:val="24"/>
          <w:szCs w:val="24"/>
        </w:rPr>
        <w:t xml:space="preserve">Kota Bandar Lampung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Minimarket, yang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1B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1B2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C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berjaring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/ </w:t>
      </w:r>
      <w:r w:rsidR="00D67750">
        <w:rPr>
          <w:rFonts w:ascii="Times New Roman" w:hAnsi="Times New Roman" w:cs="Times New Roman"/>
          <w:i/>
          <w:sz w:val="24"/>
          <w:szCs w:val="24"/>
        </w:rPr>
        <w:t>franchise</w:t>
      </w:r>
      <w:r w:rsidR="00D67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750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="00D67750">
        <w:rPr>
          <w:rFonts w:ascii="Times New Roman" w:hAnsi="Times New Roman" w:cs="Times New Roman"/>
          <w:sz w:val="24"/>
          <w:szCs w:val="24"/>
        </w:rPr>
        <w:t xml:space="preserve"> minimarket.</w:t>
      </w:r>
      <w:proofErr w:type="gramEnd"/>
    </w:p>
    <w:p w:rsidR="00D75051" w:rsidRDefault="00D75051" w:rsidP="007D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0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75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0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4003B" w:rsidRDefault="00D75051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Minimarket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Chandra Supermarket.</w:t>
      </w:r>
      <w:proofErr w:type="gram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3B" w:rsidRDefault="00C4003B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franchise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modern.</w:t>
      </w:r>
      <w:proofErr w:type="gramEnd"/>
    </w:p>
    <w:p w:rsidR="00C4003B" w:rsidRPr="00C4003B" w:rsidRDefault="00C4003B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D6112">
        <w:rPr>
          <w:rFonts w:ascii="Times New Roman" w:hAnsi="Times New Roman" w:cs="Times New Roman"/>
          <w:sz w:val="24"/>
          <w:szCs w:val="24"/>
        </w:rPr>
        <w:t>.</w:t>
      </w:r>
    </w:p>
    <w:p w:rsidR="007A5B17" w:rsidRDefault="00D75051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Bandar Lampung</w:t>
      </w:r>
      <w:r w:rsidR="007A5B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A5B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51" w:rsidRDefault="00D75051" w:rsidP="00D75051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Warung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sudah berdiri terlebih dahulu di wilayah tersebut sebelum adanya minimarket minimal 1 tahun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75051" w:rsidRDefault="00D75051" w:rsidP="00D75051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radius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terjauh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km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retail modern</w:t>
      </w:r>
    </w:p>
    <w:p w:rsidR="00195152" w:rsidRDefault="007A5B17" w:rsidP="00195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Kota Bandar Lampung,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51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951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152" w:rsidRDefault="00195152" w:rsidP="00195152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= β</w:t>
      </w:r>
      <w:r w:rsidRPr="00AC3867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+ β</w:t>
      </w:r>
      <w:r w:rsidRPr="00AC386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X</w:t>
      </w:r>
      <w:r w:rsidRPr="00AC386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+ β</w:t>
      </w:r>
      <w:r w:rsidRPr="00AC386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X</w:t>
      </w:r>
      <w:r w:rsidRPr="00AC386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95152" w:rsidRDefault="00195152" w:rsidP="0019515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95152" w:rsidRDefault="00195152" w:rsidP="0019515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     = Y</w:t>
      </w:r>
      <w:r w:rsidRPr="004B30A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(%); Y</w:t>
      </w:r>
      <w:r w:rsidRPr="004B30A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(%) X</w:t>
      </w:r>
      <w:r w:rsidRPr="00AC386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</w:t>
      </w:r>
    </w:p>
    <w:p w:rsidR="00195152" w:rsidRDefault="00195152" w:rsidP="0019515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AC386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(meter)</w:t>
      </w:r>
    </w:p>
    <w:p w:rsidR="00195152" w:rsidRDefault="00195152" w:rsidP="0019515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β</w:t>
      </w:r>
      <w:r w:rsidRPr="00AC3867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konstanta</w:t>
      </w:r>
      <w:proofErr w:type="spellEnd"/>
    </w:p>
    <w:p w:rsidR="00195152" w:rsidRDefault="00195152" w:rsidP="0019515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      = residual model</w:t>
      </w:r>
    </w:p>
    <w:p w:rsidR="00195152" w:rsidRDefault="00195152" w:rsidP="001951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AC386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>,</w:t>
      </w:r>
      <w:r w:rsidRPr="00AC3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β</w:t>
      </w:r>
      <w:r w:rsidRPr="00AC386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</w:p>
    <w:p w:rsidR="00195152" w:rsidRDefault="00195152" w:rsidP="001951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5152" w:rsidRDefault="005B087F" w:rsidP="001951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B087F" w:rsidRDefault="005B087F" w:rsidP="001951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 w:rsidRPr="009D50E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664"/>
        <w:gridCol w:w="1613"/>
        <w:gridCol w:w="1653"/>
        <w:gridCol w:w="1480"/>
      </w:tblGrid>
      <w:tr w:rsidR="005B087F" w:rsidTr="0083192C"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Koefisien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Probabilitas</w:t>
            </w:r>
            <w:proofErr w:type="spellEnd"/>
          </w:p>
        </w:tc>
      </w:tr>
      <w:tr w:rsidR="005B087F" w:rsidTr="0083192C">
        <w:tc>
          <w:tcPr>
            <w:tcW w:w="1528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0.80447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0.04820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16.69043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5B087F" w:rsidTr="0083192C">
        <w:tc>
          <w:tcPr>
            <w:tcW w:w="1528" w:type="dxa"/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E9570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64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-0.07622</w:t>
            </w:r>
          </w:p>
        </w:tc>
        <w:tc>
          <w:tcPr>
            <w:tcW w:w="1613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0.01919</w:t>
            </w:r>
          </w:p>
        </w:tc>
        <w:tc>
          <w:tcPr>
            <w:tcW w:w="1653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-3.97209</w:t>
            </w:r>
          </w:p>
        </w:tc>
        <w:tc>
          <w:tcPr>
            <w:tcW w:w="1480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0.0002</w:t>
            </w:r>
          </w:p>
        </w:tc>
      </w:tr>
      <w:tr w:rsidR="005B087F" w:rsidTr="0083192C">
        <w:tc>
          <w:tcPr>
            <w:tcW w:w="1528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E9570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0.00019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7.31111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2.61709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0.0113</w:t>
            </w:r>
          </w:p>
        </w:tc>
      </w:tr>
      <w:tr w:rsidR="005B087F" w:rsidTr="0083192C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R-Squared              = 0.34353</w:t>
            </w:r>
          </w:p>
        </w:tc>
      </w:tr>
      <w:tr w:rsidR="005B087F" w:rsidTr="0083192C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= 14.9144</w:t>
            </w:r>
          </w:p>
        </w:tc>
      </w:tr>
    </w:tbl>
    <w:p w:rsidR="005B087F" w:rsidRDefault="005B087F" w:rsidP="001951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97D9E" w:rsidRDefault="00A703FA" w:rsidP="00A70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(X</w:t>
      </w:r>
      <w:r w:rsidRPr="00A703F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(X</w:t>
      </w:r>
      <w:r w:rsidRPr="00A703F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 w:rsidRPr="00A703F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warung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Hal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minimarket, </w:t>
      </w:r>
      <w:proofErr w:type="spellStart"/>
      <w:r w:rsidR="00297D9E">
        <w:rPr>
          <w:rFonts w:ascii="Times New Roman" w:hAnsi="Times New Roman"/>
          <w:sz w:val="24"/>
          <w:szCs w:val="24"/>
        </w:rPr>
        <w:t>semakin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banyak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minimarket modern di </w:t>
      </w:r>
      <w:proofErr w:type="spellStart"/>
      <w:r w:rsidR="00297D9E">
        <w:rPr>
          <w:rFonts w:ascii="Times New Roman" w:hAnsi="Times New Roman"/>
          <w:sz w:val="24"/>
          <w:szCs w:val="24"/>
        </w:rPr>
        <w:t>sekitar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warung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tradisional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maka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semakin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susah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="00297D9E">
        <w:rPr>
          <w:rFonts w:ascii="Times New Roman" w:hAnsi="Times New Roman"/>
          <w:sz w:val="24"/>
          <w:szCs w:val="24"/>
        </w:rPr>
        <w:t>penjualan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dicapai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. </w:t>
      </w:r>
    </w:p>
    <w:p w:rsidR="005B087F" w:rsidRDefault="005B087F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Hasil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Estimasi</w:t>
      </w:r>
      <w:proofErr w:type="spellEnd"/>
      <w:r w:rsidR="0029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/>
          <w:sz w:val="24"/>
          <w:szCs w:val="24"/>
        </w:rPr>
        <w:t>Pencapaian</w:t>
      </w:r>
      <w:proofErr w:type="spellEnd"/>
      <w:r w:rsidRPr="00B053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53CB">
        <w:rPr>
          <w:rFonts w:ascii="Times New Roman" w:hAnsi="Times New Roman"/>
          <w:sz w:val="24"/>
          <w:szCs w:val="24"/>
        </w:rPr>
        <w:t>(Y</w:t>
      </w:r>
      <w:r w:rsidRPr="0066685D">
        <w:rPr>
          <w:rFonts w:ascii="Times New Roman" w:hAnsi="Times New Roman"/>
          <w:sz w:val="24"/>
          <w:szCs w:val="24"/>
          <w:vertAlign w:val="subscript"/>
        </w:rPr>
        <w:t>2</w:t>
      </w:r>
      <w:r w:rsidRPr="00B053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664"/>
        <w:gridCol w:w="1613"/>
        <w:gridCol w:w="1653"/>
        <w:gridCol w:w="1480"/>
      </w:tblGrid>
      <w:tr w:rsidR="005B087F" w:rsidTr="0083192C"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Koefisien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Probabilitas</w:t>
            </w:r>
            <w:proofErr w:type="spellEnd"/>
          </w:p>
        </w:tc>
      </w:tr>
      <w:tr w:rsidR="005B087F" w:rsidTr="0083192C">
        <w:tc>
          <w:tcPr>
            <w:tcW w:w="1528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0.58989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0.04689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12.57965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5B087F" w:rsidTr="0083192C">
        <w:tc>
          <w:tcPr>
            <w:tcW w:w="1528" w:type="dxa"/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94A5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64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-0.04147</w:t>
            </w:r>
          </w:p>
        </w:tc>
        <w:tc>
          <w:tcPr>
            <w:tcW w:w="1613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0.01867</w:t>
            </w:r>
          </w:p>
        </w:tc>
        <w:tc>
          <w:tcPr>
            <w:tcW w:w="1653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-2.22168</w:t>
            </w:r>
          </w:p>
        </w:tc>
        <w:tc>
          <w:tcPr>
            <w:tcW w:w="1480" w:type="dxa"/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0.0303</w:t>
            </w:r>
          </w:p>
        </w:tc>
      </w:tr>
      <w:tr w:rsidR="005B087F" w:rsidTr="0083192C">
        <w:tc>
          <w:tcPr>
            <w:tcW w:w="1528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94A5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7.11110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2.25860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B087F" w:rsidRDefault="005B087F" w:rsidP="0029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0.0278</w:t>
            </w:r>
          </w:p>
        </w:tc>
      </w:tr>
      <w:tr w:rsidR="005B087F" w:rsidTr="0083192C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R-Squared              = 0.19094</w:t>
            </w:r>
          </w:p>
        </w:tc>
      </w:tr>
      <w:tr w:rsidR="005B087F" w:rsidTr="0083192C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087F" w:rsidRDefault="005B087F" w:rsidP="0029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= 6.72635</w:t>
            </w:r>
          </w:p>
        </w:tc>
      </w:tr>
    </w:tbl>
    <w:p w:rsidR="007D4B21" w:rsidRDefault="004E0BBB" w:rsidP="007D4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9E" w:rsidRDefault="00297D9E" w:rsidP="007D4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arak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(X</w:t>
      </w:r>
      <w:r w:rsidRPr="00A703F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(X</w:t>
      </w:r>
      <w:r w:rsidRPr="00A703F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</w:t>
      </w:r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(Y</w:t>
      </w:r>
      <w:r w:rsidRPr="00A703F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00B50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seperti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pada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pencapaian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="00A00B50">
        <w:rPr>
          <w:rFonts w:ascii="Times New Roman" w:hAnsi="Times New Roman"/>
          <w:sz w:val="24"/>
          <w:szCs w:val="24"/>
        </w:rPr>
        <w:t>penjualan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00B50">
        <w:rPr>
          <w:rFonts w:ascii="Times New Roman" w:hAnsi="Times New Roman"/>
          <w:sz w:val="24"/>
          <w:szCs w:val="24"/>
        </w:rPr>
        <w:t>Semakin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jauh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jarak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minimarket modern </w:t>
      </w:r>
      <w:proofErr w:type="spellStart"/>
      <w:r w:rsidR="00A00B50">
        <w:rPr>
          <w:rFonts w:ascii="Times New Roman" w:hAnsi="Times New Roman"/>
          <w:sz w:val="24"/>
          <w:szCs w:val="24"/>
        </w:rPr>
        <w:t>dari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warung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tradisional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dan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semakin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sedikit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jumlah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minimarket di </w:t>
      </w:r>
      <w:proofErr w:type="spellStart"/>
      <w:r w:rsidR="00A00B50">
        <w:rPr>
          <w:rFonts w:ascii="Times New Roman" w:hAnsi="Times New Roman"/>
          <w:sz w:val="24"/>
          <w:szCs w:val="24"/>
        </w:rPr>
        <w:t>sekitar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warung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tradisional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B50">
        <w:rPr>
          <w:rFonts w:ascii="Times New Roman" w:hAnsi="Times New Roman"/>
          <w:sz w:val="24"/>
          <w:szCs w:val="24"/>
        </w:rPr>
        <w:t>memungkinkan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pertumbuhan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nilai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penjualan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tercapai</w:t>
      </w:r>
      <w:proofErr w:type="spellEnd"/>
      <w:r w:rsidR="00A00B50">
        <w:rPr>
          <w:rFonts w:ascii="Times New Roman" w:hAnsi="Times New Roman"/>
          <w:sz w:val="24"/>
          <w:szCs w:val="24"/>
        </w:rPr>
        <w:t>.</w:t>
      </w:r>
      <w:proofErr w:type="gramEnd"/>
      <w:r w:rsidR="00A00B50">
        <w:rPr>
          <w:rFonts w:ascii="Times New Roman" w:hAnsi="Times New Roman"/>
          <w:sz w:val="24"/>
          <w:szCs w:val="24"/>
        </w:rPr>
        <w:t xml:space="preserve">     </w:t>
      </w:r>
    </w:p>
    <w:p w:rsidR="00265BB9" w:rsidRDefault="00297D9E" w:rsidP="00297D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modern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bermukim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kebetulan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melintas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00B50">
        <w:rPr>
          <w:rFonts w:ascii="Times New Roman" w:hAnsi="Times New Roman"/>
          <w:sz w:val="24"/>
          <w:szCs w:val="24"/>
        </w:rPr>
        <w:t>Semakin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tinggi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persaingan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B50">
        <w:rPr>
          <w:rFonts w:ascii="Times New Roman" w:hAnsi="Times New Roman"/>
          <w:sz w:val="24"/>
          <w:szCs w:val="24"/>
        </w:rPr>
        <w:t>ditandai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dengan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jarak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00B50">
        <w:rPr>
          <w:rFonts w:ascii="Times New Roman" w:hAnsi="Times New Roman"/>
          <w:sz w:val="24"/>
          <w:szCs w:val="24"/>
        </w:rPr>
        <w:t>dekat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dan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jumlah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minimarket yang </w:t>
      </w:r>
      <w:proofErr w:type="spellStart"/>
      <w:r w:rsidR="00A00B50">
        <w:rPr>
          <w:rFonts w:ascii="Times New Roman" w:hAnsi="Times New Roman"/>
          <w:sz w:val="24"/>
          <w:szCs w:val="24"/>
        </w:rPr>
        <w:t>relatif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banyak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B50">
        <w:rPr>
          <w:rFonts w:ascii="Times New Roman" w:hAnsi="Times New Roman"/>
          <w:sz w:val="24"/>
          <w:szCs w:val="24"/>
        </w:rPr>
        <w:t>berpotensi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merugikan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usaha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warung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tradisional</w:t>
      </w:r>
      <w:proofErr w:type="spellEnd"/>
      <w:r w:rsidR="00A00B50">
        <w:rPr>
          <w:rFonts w:ascii="Times New Roman" w:hAnsi="Times New Roman"/>
          <w:sz w:val="24"/>
          <w:szCs w:val="24"/>
        </w:rPr>
        <w:t>.</w:t>
      </w:r>
      <w:proofErr w:type="gram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00B50">
        <w:rPr>
          <w:rFonts w:ascii="Times New Roman" w:hAnsi="Times New Roman"/>
          <w:sz w:val="24"/>
          <w:szCs w:val="24"/>
        </w:rPr>
        <w:t>Beberapa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warung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tradisional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sudah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tidak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lagi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ada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ketika</w:t>
      </w:r>
      <w:proofErr w:type="spellEnd"/>
      <w:r w:rsidR="00A00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50">
        <w:rPr>
          <w:rFonts w:ascii="Times New Roman" w:hAnsi="Times New Roman"/>
          <w:sz w:val="24"/>
          <w:szCs w:val="24"/>
        </w:rPr>
        <w:t>penelitia</w:t>
      </w:r>
      <w:r w:rsidR="00265BB9">
        <w:rPr>
          <w:rFonts w:ascii="Times New Roman" w:hAnsi="Times New Roman"/>
          <w:sz w:val="24"/>
          <w:szCs w:val="24"/>
        </w:rPr>
        <w:t>n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dilakukan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5BB9">
        <w:rPr>
          <w:rFonts w:ascii="Times New Roman" w:hAnsi="Times New Roman"/>
          <w:sz w:val="24"/>
          <w:szCs w:val="24"/>
        </w:rPr>
        <w:t>informasi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ini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didapatkan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dari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pemilik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warung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5BB9">
        <w:rPr>
          <w:rFonts w:ascii="Times New Roman" w:hAnsi="Times New Roman"/>
          <w:sz w:val="24"/>
          <w:szCs w:val="24"/>
        </w:rPr>
        <w:t>menjadi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responden</w:t>
      </w:r>
      <w:proofErr w:type="spellEnd"/>
      <w:r w:rsidR="0026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BB9">
        <w:rPr>
          <w:rFonts w:ascii="Times New Roman" w:hAnsi="Times New Roman"/>
          <w:sz w:val="24"/>
          <w:szCs w:val="24"/>
        </w:rPr>
        <w:t>penelitian</w:t>
      </w:r>
      <w:proofErr w:type="spellEnd"/>
      <w:r w:rsidR="00265BB9">
        <w:rPr>
          <w:rFonts w:ascii="Times New Roman" w:hAnsi="Times New Roman"/>
          <w:sz w:val="24"/>
          <w:szCs w:val="24"/>
        </w:rPr>
        <w:t>.</w:t>
      </w:r>
      <w:proofErr w:type="gramEnd"/>
      <w:r w:rsidR="00265BB9">
        <w:rPr>
          <w:rFonts w:ascii="Times New Roman" w:hAnsi="Times New Roman"/>
          <w:sz w:val="24"/>
          <w:szCs w:val="24"/>
        </w:rPr>
        <w:t xml:space="preserve"> </w:t>
      </w:r>
    </w:p>
    <w:p w:rsidR="00297D9E" w:rsidRPr="00195152" w:rsidRDefault="00265BB9" w:rsidP="00297D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kerugian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 modern.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berbelanja</w:t>
      </w:r>
      <w:proofErr w:type="spellEnd"/>
      <w:r>
        <w:rPr>
          <w:rFonts w:ascii="Times New Roman" w:hAnsi="Times New Roman"/>
          <w:sz w:val="24"/>
          <w:szCs w:val="24"/>
        </w:rPr>
        <w:t xml:space="preserve"> di minimarket.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Barat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pendirian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minimarket,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A00B50">
        <w:rPr>
          <w:rFonts w:ascii="Times New Roman" w:hAnsi="Times New Roman"/>
          <w:sz w:val="24"/>
          <w:szCs w:val="24"/>
        </w:rPr>
        <w:t xml:space="preserve">  </w:t>
      </w:r>
      <w:r w:rsidR="00297D9E">
        <w:rPr>
          <w:rFonts w:ascii="Times New Roman" w:hAnsi="Times New Roman"/>
          <w:sz w:val="24"/>
          <w:szCs w:val="24"/>
        </w:rPr>
        <w:t xml:space="preserve">    </w:t>
      </w:r>
    </w:p>
    <w:p w:rsidR="00297D9E" w:rsidRDefault="00265BB9" w:rsidP="007D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BB9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265BB9" w:rsidRDefault="0060394D" w:rsidP="007D4B2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216D3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minimarket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negatif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signif</w:t>
      </w:r>
      <w:r>
        <w:rPr>
          <w:rFonts w:ascii="Times New Roman" w:hAnsi="Times New Roman"/>
          <w:color w:val="000000"/>
          <w:sz w:val="24"/>
          <w:szCs w:val="24"/>
        </w:rPr>
        <w:t>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16D3">
        <w:rPr>
          <w:rFonts w:ascii="Times New Roman" w:hAnsi="Times New Roman"/>
          <w:color w:val="000000"/>
          <w:sz w:val="24"/>
          <w:szCs w:val="24"/>
        </w:rPr>
        <w:t xml:space="preserve">di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Kedamaian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Kota Bandar Lampung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</w:t>
      </w:r>
      <w:r w:rsidRPr="00B216D3">
        <w:rPr>
          <w:rFonts w:ascii="Times New Roman" w:hAnsi="Times New Roman"/>
          <w:color w:val="000000"/>
          <w:sz w:val="24"/>
          <w:szCs w:val="24"/>
        </w:rPr>
        <w:t>arak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 w:rsidRPr="00B21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16D3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Kedamaian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Kota Bandar Lampung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mengeksplorasi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persaingan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minimarket.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394D" w:rsidRDefault="0060394D" w:rsidP="007D4B2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0394D">
        <w:rPr>
          <w:rFonts w:ascii="Times New Roman" w:hAnsi="Times New Roman"/>
          <w:b/>
          <w:color w:val="000000"/>
          <w:sz w:val="24"/>
          <w:szCs w:val="24"/>
        </w:rPr>
        <w:t>Referensi</w:t>
      </w:r>
      <w:proofErr w:type="spellEnd"/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Balqis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Monica.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D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D0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Vol.3.N0.2.</w:t>
      </w:r>
      <w:proofErr w:type="gramEnd"/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Made. </w:t>
      </w:r>
      <w:proofErr w:type="gramStart"/>
      <w:r w:rsidRPr="00FA2DDF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A2DDF">
        <w:rPr>
          <w:rFonts w:ascii="Times New Roman" w:hAnsi="Times New Roman" w:cs="Times New Roman"/>
          <w:i/>
          <w:sz w:val="24"/>
          <w:szCs w:val="24"/>
        </w:rPr>
        <w:t xml:space="preserve"> Lama Usaha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A2DDF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Efisiensi</w:t>
      </w:r>
      <w:proofErr w:type="spellEnd"/>
      <w:r w:rsidRPr="00FA2DDF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Pedagang</w:t>
      </w:r>
      <w:proofErr w:type="spellEnd"/>
      <w:r w:rsidRPr="00FA2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DDF">
        <w:rPr>
          <w:rFonts w:ascii="Times New Roman" w:hAnsi="Times New Roman" w:cs="Times New Roman"/>
          <w:sz w:val="24"/>
          <w:szCs w:val="24"/>
        </w:rPr>
        <w:t xml:space="preserve"> EP</w:t>
      </w:r>
      <w:proofErr w:type="gramStart"/>
      <w:r w:rsidRPr="00FA2DDF">
        <w:rPr>
          <w:rFonts w:ascii="Times New Roman" w:hAnsi="Times New Roman" w:cs="Times New Roman"/>
          <w:sz w:val="24"/>
          <w:szCs w:val="24"/>
        </w:rPr>
        <w:t>,UNUD</w:t>
      </w:r>
      <w:proofErr w:type="gramEnd"/>
      <w:r w:rsidRPr="00FA2DDF">
        <w:rPr>
          <w:rFonts w:ascii="Times New Roman" w:hAnsi="Times New Roman" w:cs="Times New Roman"/>
          <w:sz w:val="24"/>
          <w:szCs w:val="24"/>
        </w:rPr>
        <w:t>.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Dean M. 1997. </w:t>
      </w:r>
      <w:proofErr w:type="gramStart"/>
      <w:r w:rsidRPr="005D436D">
        <w:rPr>
          <w:rFonts w:ascii="Times New Roman" w:hAnsi="Times New Roman" w:cs="Times New Roman"/>
          <w:i/>
          <w:sz w:val="24"/>
          <w:szCs w:val="24"/>
        </w:rPr>
        <w:t>Principles and Applications of Economic Geography.</w:t>
      </w:r>
      <w:proofErr w:type="gramEnd"/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5D436D">
        <w:rPr>
          <w:rFonts w:ascii="Times New Roman" w:hAnsi="Times New Roman" w:cs="Times New Roman"/>
          <w:i/>
          <w:sz w:val="24"/>
          <w:szCs w:val="24"/>
        </w:rPr>
        <w:t>Economy, Policy, Environment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John Wiley and Sons.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4E5C3D">
        <w:rPr>
          <w:rFonts w:ascii="Times New Roman" w:hAnsi="Times New Roman" w:cs="Times New Roman"/>
          <w:sz w:val="24"/>
          <w:szCs w:val="24"/>
        </w:rPr>
        <w:t>ffah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Rizal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Minimarket </w:t>
      </w:r>
    </w:p>
    <w:p w:rsidR="0060394D" w:rsidRDefault="0060394D" w:rsidP="006039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743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17435">
        <w:rPr>
          <w:rFonts w:ascii="Times New Roman" w:hAnsi="Times New Roman" w:cs="Times New Roman"/>
          <w:i/>
          <w:sz w:val="24"/>
          <w:szCs w:val="24"/>
        </w:rPr>
        <w:t xml:space="preserve"> Tata Kota </w:t>
      </w:r>
      <w:proofErr w:type="spellStart"/>
      <w:r w:rsidRPr="00E174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7435">
        <w:rPr>
          <w:rFonts w:ascii="Times New Roman" w:hAnsi="Times New Roman" w:cs="Times New Roman"/>
          <w:i/>
          <w:sz w:val="24"/>
          <w:szCs w:val="24"/>
        </w:rPr>
        <w:t xml:space="preserve"> Wilayah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Vol.3.No.1.</w:t>
      </w:r>
      <w:proofErr w:type="gramEnd"/>
    </w:p>
    <w:p w:rsidR="0060394D" w:rsidRDefault="0060394D" w:rsidP="006039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Philip. 2005</w:t>
      </w:r>
      <w:r w:rsidRPr="00FA2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ManajemenPemasaran</w:t>
      </w:r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Listihana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Aquino.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Arizal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</w:t>
      </w:r>
    </w:p>
    <w:p w:rsidR="0060394D" w:rsidRDefault="0060394D" w:rsidP="006039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36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D4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36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5D4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36D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D4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3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4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36D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Vol.11. No.1</w:t>
      </w:r>
    </w:p>
    <w:p w:rsidR="0060394D" w:rsidRDefault="0060394D" w:rsidP="006039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Mujahid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Nasyirah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60394D" w:rsidRDefault="0060394D" w:rsidP="00603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di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17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 w:rsidRPr="00E17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43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743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Vol.5. No.1.</w:t>
      </w:r>
      <w:proofErr w:type="gramEnd"/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4D" w:rsidRDefault="0060394D" w:rsidP="00603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DDF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FA2DDF">
        <w:rPr>
          <w:rFonts w:ascii="Times New Roman" w:hAnsi="Times New Roman" w:cs="Times New Roman"/>
          <w:sz w:val="24"/>
          <w:szCs w:val="24"/>
        </w:rPr>
        <w:t>, Muhammad. 2010</w:t>
      </w:r>
      <w:r w:rsidRPr="00FA2DD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A2DDF">
        <w:rPr>
          <w:rFonts w:ascii="Times New Roman" w:hAnsi="Times New Roman" w:cs="Times New Roman"/>
          <w:i/>
          <w:sz w:val="24"/>
          <w:szCs w:val="24"/>
        </w:rPr>
        <w:t>EkonomiIndustri</w:t>
      </w:r>
      <w:proofErr w:type="spellEnd"/>
      <w:r w:rsidRPr="00FA2DDF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FA2DDF"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  <w:r w:rsidRPr="00FA2DDF">
        <w:rPr>
          <w:rFonts w:ascii="Times New Roman" w:hAnsi="Times New Roman" w:cs="Times New Roman"/>
          <w:sz w:val="24"/>
          <w:szCs w:val="24"/>
        </w:rPr>
        <w:t>.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35F">
        <w:rPr>
          <w:rFonts w:ascii="Times New Roman" w:hAnsi="Times New Roman" w:cs="Times New Roman"/>
          <w:sz w:val="24"/>
          <w:szCs w:val="24"/>
        </w:rPr>
        <w:t>Widarjono</w:t>
      </w:r>
      <w:proofErr w:type="spellEnd"/>
      <w:r w:rsidRPr="00A35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5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3535F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A3535F">
        <w:rPr>
          <w:rFonts w:ascii="Times New Roman" w:hAnsi="Times New Roman" w:cs="Times New Roman"/>
          <w:i/>
          <w:sz w:val="24"/>
          <w:szCs w:val="24"/>
        </w:rPr>
        <w:t>Ekonometrika</w:t>
      </w:r>
      <w:proofErr w:type="spellEnd"/>
      <w:r w:rsidRPr="00A3535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3535F">
        <w:rPr>
          <w:rFonts w:ascii="Times New Roman" w:hAnsi="Times New Roman" w:cs="Times New Roman"/>
          <w:i/>
          <w:sz w:val="24"/>
          <w:szCs w:val="24"/>
        </w:rPr>
        <w:t>PengantardanAplikasinya</w:t>
      </w:r>
      <w:proofErr w:type="spellEnd"/>
      <w:r w:rsidRPr="00A3535F">
        <w:rPr>
          <w:rFonts w:ascii="Times New Roman" w:hAnsi="Times New Roman" w:cs="Times New Roman"/>
          <w:sz w:val="24"/>
          <w:szCs w:val="24"/>
        </w:rPr>
        <w:t>. UPP STIM</w:t>
      </w:r>
    </w:p>
    <w:p w:rsidR="0060394D" w:rsidRDefault="0060394D" w:rsidP="0060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35F">
        <w:rPr>
          <w:rFonts w:ascii="Times New Roman" w:hAnsi="Times New Roman" w:cs="Times New Roman"/>
          <w:sz w:val="24"/>
          <w:szCs w:val="24"/>
        </w:rPr>
        <w:t>YKPN,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94D" w:rsidRPr="007D4B21" w:rsidRDefault="0060394D" w:rsidP="007D4B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94D" w:rsidRPr="007D4B21" w:rsidSect="007D4B2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E17"/>
    <w:multiLevelType w:val="hybridMultilevel"/>
    <w:tmpl w:val="36BE5E9A"/>
    <w:lvl w:ilvl="0" w:tplc="C8D63944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1"/>
    <w:rsid w:val="0002732C"/>
    <w:rsid w:val="00176BE7"/>
    <w:rsid w:val="00195152"/>
    <w:rsid w:val="00201107"/>
    <w:rsid w:val="00265BB9"/>
    <w:rsid w:val="00297D9E"/>
    <w:rsid w:val="00342214"/>
    <w:rsid w:val="004E0BBB"/>
    <w:rsid w:val="00535158"/>
    <w:rsid w:val="005B087F"/>
    <w:rsid w:val="005C2EF6"/>
    <w:rsid w:val="005C73AF"/>
    <w:rsid w:val="0060394D"/>
    <w:rsid w:val="006F0ADF"/>
    <w:rsid w:val="007A5B17"/>
    <w:rsid w:val="007D4B21"/>
    <w:rsid w:val="00944E7E"/>
    <w:rsid w:val="00992524"/>
    <w:rsid w:val="00A00B50"/>
    <w:rsid w:val="00A43062"/>
    <w:rsid w:val="00A703FA"/>
    <w:rsid w:val="00B24414"/>
    <w:rsid w:val="00C4003B"/>
    <w:rsid w:val="00C811B2"/>
    <w:rsid w:val="00C90A2B"/>
    <w:rsid w:val="00D67750"/>
    <w:rsid w:val="00D75051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750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5051"/>
  </w:style>
  <w:style w:type="table" w:styleId="TableGrid">
    <w:name w:val="Table Grid"/>
    <w:basedOn w:val="TableNormal"/>
    <w:uiPriority w:val="59"/>
    <w:rsid w:val="005B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750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75051"/>
  </w:style>
  <w:style w:type="table" w:styleId="TableGrid">
    <w:name w:val="Table Grid"/>
    <w:basedOn w:val="TableNormal"/>
    <w:uiPriority w:val="59"/>
    <w:rsid w:val="005B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2019-11-15T18:39:00Z</dcterms:created>
  <dcterms:modified xsi:type="dcterms:W3CDTF">2019-11-15T18:39:00Z</dcterms:modified>
</cp:coreProperties>
</file>