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6B" w:rsidRDefault="00C41385" w:rsidP="00634DF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MENGUJI NILAI STRATEGIS EKUITAS MEREK BAGI PERUSAHAAN</w:t>
      </w:r>
    </w:p>
    <w:p w:rsidR="00C41385" w:rsidRDefault="00C41385" w:rsidP="00634DFC">
      <w:pPr>
        <w:spacing w:after="0" w:line="240" w:lineRule="auto"/>
        <w:jc w:val="center"/>
        <w:rPr>
          <w:rFonts w:ascii="Times New Roman" w:hAnsi="Times New Roman" w:cs="Times New Roman"/>
          <w:b/>
          <w:sz w:val="24"/>
          <w:szCs w:val="24"/>
        </w:rPr>
      </w:pPr>
    </w:p>
    <w:p w:rsidR="00C41385" w:rsidRDefault="00C41385" w:rsidP="00634DFC">
      <w:pPr>
        <w:spacing w:after="0" w:line="240" w:lineRule="auto"/>
        <w:ind w:left="-1"/>
        <w:jc w:val="center"/>
        <w:rPr>
          <w:rFonts w:ascii="Times New Roman" w:eastAsia="Times New Roman" w:hAnsi="Times New Roman" w:cs="Times New Roman"/>
          <w:sz w:val="24"/>
          <w:szCs w:val="28"/>
        </w:rPr>
      </w:pPr>
      <w:r w:rsidRPr="00C41385">
        <w:rPr>
          <w:rFonts w:ascii="Times New Roman"/>
          <w:spacing w:val="-2"/>
          <w:sz w:val="24"/>
        </w:rPr>
        <w:t>Kussuyatmono Bagus Wardianto</w:t>
      </w:r>
      <w:r>
        <w:rPr>
          <w:rFonts w:ascii="Times New Roman"/>
          <w:spacing w:val="-2"/>
          <w:sz w:val="24"/>
        </w:rPr>
        <w:t xml:space="preserve">, </w:t>
      </w:r>
      <w:r w:rsidRPr="00C41385">
        <w:rPr>
          <w:rFonts w:ascii="Times New Roman"/>
          <w:spacing w:val="-2"/>
          <w:sz w:val="24"/>
        </w:rPr>
        <w:t xml:space="preserve">Damayanti, Mediya Destalia, </w:t>
      </w:r>
      <w:r w:rsidRPr="00C41385">
        <w:rPr>
          <w:rFonts w:ascii="Times New Roman" w:eastAsia="Times New Roman" w:hAnsi="Times New Roman" w:cs="Times New Roman"/>
          <w:sz w:val="24"/>
          <w:szCs w:val="28"/>
        </w:rPr>
        <w:t>Supriyanto</w:t>
      </w:r>
    </w:p>
    <w:p w:rsidR="00C41385" w:rsidRDefault="00C41385" w:rsidP="00634DFC">
      <w:pPr>
        <w:spacing w:after="0" w:line="240" w:lineRule="auto"/>
        <w:ind w:left="-1"/>
        <w:jc w:val="center"/>
        <w:rPr>
          <w:rFonts w:ascii="Times New Roman" w:eastAsia="Times New Roman" w:hAnsi="Times New Roman" w:cs="Times New Roman"/>
          <w:sz w:val="24"/>
          <w:szCs w:val="28"/>
        </w:rPr>
      </w:pPr>
    </w:p>
    <w:p w:rsidR="00C41385" w:rsidRDefault="00C41385" w:rsidP="00634DFC">
      <w:pPr>
        <w:spacing w:after="0" w:line="240" w:lineRule="auto"/>
        <w:ind w:left="-1"/>
        <w:jc w:val="center"/>
        <w:rPr>
          <w:rFonts w:ascii="Times New Roman" w:eastAsia="Times New Roman" w:hAnsi="Times New Roman" w:cs="Times New Roman"/>
          <w:sz w:val="24"/>
          <w:szCs w:val="28"/>
        </w:rPr>
      </w:pPr>
    </w:p>
    <w:p w:rsidR="00C41385" w:rsidRDefault="00C41385" w:rsidP="00634DFC">
      <w:pPr>
        <w:spacing w:after="0" w:line="240" w:lineRule="auto"/>
        <w:ind w:left="-1"/>
        <w:jc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Abstrak</w:t>
      </w:r>
    </w:p>
    <w:p w:rsidR="00C41385" w:rsidRDefault="00C41385" w:rsidP="00634DFC">
      <w:pPr>
        <w:spacing w:after="0" w:line="240" w:lineRule="auto"/>
        <w:ind w:left="-1"/>
        <w:jc w:val="center"/>
        <w:rPr>
          <w:rFonts w:ascii="Times New Roman" w:eastAsia="Times New Roman" w:hAnsi="Times New Roman" w:cs="Times New Roman"/>
          <w:sz w:val="24"/>
          <w:szCs w:val="28"/>
        </w:rPr>
      </w:pPr>
    </w:p>
    <w:p w:rsidR="005E235F" w:rsidRDefault="00C41385" w:rsidP="00634DFC">
      <w:pPr>
        <w:spacing w:after="0" w:line="240" w:lineRule="auto"/>
        <w:ind w:left="-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Penelitian ini bertujuan untuk menguji apakah nilai perusahaan secara signifikan dipengaruhi oleh ekuitas merek. Ekuitas merek dalam penelitian ini diukur dengan menggunakan nilai merek yang dihitung melalui Metode Hirose (2002). Sedangkan nilai perusahaan diukur dengan menggunakan Tobin’s Q. Penelitian ini juga menggunakan variabel kontrol, yaitu struktur modal yang diukur dengan </w:t>
      </w:r>
      <w:r w:rsidR="00C82A3D">
        <w:rPr>
          <w:rFonts w:ascii="Times New Roman" w:eastAsia="Times New Roman" w:hAnsi="Times New Roman" w:cs="Times New Roman"/>
          <w:i/>
          <w:sz w:val="24"/>
          <w:szCs w:val="28"/>
        </w:rPr>
        <w:t>debt ratio</w:t>
      </w:r>
      <w:r w:rsidR="00C82A3D">
        <w:rPr>
          <w:rFonts w:ascii="Times New Roman" w:eastAsia="Times New Roman" w:hAnsi="Times New Roman" w:cs="Times New Roman"/>
          <w:sz w:val="24"/>
          <w:szCs w:val="28"/>
        </w:rPr>
        <w:t xml:space="preserve"> dan profitabilitas yang diukur dengan </w:t>
      </w:r>
      <w:r w:rsidR="00C82A3D">
        <w:rPr>
          <w:rFonts w:ascii="Times New Roman" w:eastAsia="Times New Roman" w:hAnsi="Times New Roman" w:cs="Times New Roman"/>
          <w:i/>
          <w:sz w:val="24"/>
          <w:szCs w:val="28"/>
        </w:rPr>
        <w:t>return on assets</w:t>
      </w:r>
      <w:r w:rsidR="00C82A3D">
        <w:rPr>
          <w:rFonts w:ascii="Times New Roman" w:eastAsia="Times New Roman" w:hAnsi="Times New Roman" w:cs="Times New Roman"/>
          <w:sz w:val="24"/>
          <w:szCs w:val="28"/>
        </w:rPr>
        <w:t xml:space="preserve">. Sampel yang diteliti adalah Perusahaan Sektor Barang Konsumsi yang terdaftar di Bursa Efek Indonesia periode 2012-2017, sehingga terdapat unit analisis sebanyak 126 (21 perusahaan X 6 tahun). </w:t>
      </w:r>
      <w:r w:rsidR="005E235F">
        <w:rPr>
          <w:rFonts w:ascii="Times New Roman" w:eastAsia="Times New Roman" w:hAnsi="Times New Roman" w:cs="Times New Roman"/>
          <w:sz w:val="24"/>
          <w:szCs w:val="28"/>
        </w:rPr>
        <w:t>Hasil pengujian statistik menunjukkan bahwa nilai perusahaan secara signifikan dipengaruhi oleh ekuitas merek. Demikian juga struktur modal dan profitabilitas juga berpengaruh signifikan terhadap nilai perusahaan. Hasil pengujian juga menunjukkan bahwa profitabilitas lebih dominan pengaruhnya terhadap nilai perusahaan, disusul oleh ekuitas merek dan struktur modal.</w:t>
      </w:r>
    </w:p>
    <w:p w:rsidR="005E235F" w:rsidRDefault="005E235F" w:rsidP="00634DFC">
      <w:pPr>
        <w:spacing w:after="0" w:line="240" w:lineRule="auto"/>
        <w:ind w:left="-1"/>
        <w:jc w:val="both"/>
        <w:rPr>
          <w:rFonts w:ascii="Times New Roman" w:eastAsia="Times New Roman" w:hAnsi="Times New Roman" w:cs="Times New Roman"/>
          <w:sz w:val="24"/>
          <w:szCs w:val="28"/>
        </w:rPr>
      </w:pPr>
    </w:p>
    <w:p w:rsidR="00C41385" w:rsidRDefault="005E235F" w:rsidP="00634DFC">
      <w:pPr>
        <w:spacing w:after="0" w:line="240" w:lineRule="auto"/>
        <w:ind w:left="-1"/>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Kata Kunci: Ekuitas Merek, Struktur Modal, Profitabilitas, Nilai Perusahaan </w:t>
      </w:r>
    </w:p>
    <w:p w:rsidR="009C6901" w:rsidRDefault="009C6901" w:rsidP="00634DFC">
      <w:pPr>
        <w:spacing w:after="0" w:line="240" w:lineRule="auto"/>
        <w:ind w:left="-1"/>
        <w:jc w:val="both"/>
        <w:rPr>
          <w:rFonts w:ascii="Times New Roman" w:eastAsia="Times New Roman" w:hAnsi="Times New Roman" w:cs="Times New Roman"/>
          <w:sz w:val="24"/>
          <w:szCs w:val="28"/>
        </w:rPr>
      </w:pPr>
    </w:p>
    <w:p w:rsidR="009C6901" w:rsidRDefault="009C6901" w:rsidP="00634DFC">
      <w:pPr>
        <w:spacing w:after="0" w:line="240" w:lineRule="auto"/>
        <w:ind w:left="-1"/>
        <w:jc w:val="both"/>
        <w:rPr>
          <w:rFonts w:ascii="Times New Roman" w:eastAsia="Times New Roman" w:hAnsi="Times New Roman" w:cs="Times New Roman"/>
          <w:sz w:val="24"/>
          <w:szCs w:val="28"/>
        </w:rPr>
      </w:pPr>
    </w:p>
    <w:p w:rsidR="009C6901" w:rsidRPr="009C6901" w:rsidRDefault="009C6901" w:rsidP="00634DFC">
      <w:pPr>
        <w:spacing w:after="0" w:line="240" w:lineRule="auto"/>
        <w:ind w:left="-1"/>
        <w:jc w:val="both"/>
        <w:rPr>
          <w:rFonts w:ascii="Times New Roman" w:eastAsia="Times New Roman" w:hAnsi="Times New Roman" w:cs="Times New Roman"/>
          <w:b/>
          <w:sz w:val="24"/>
          <w:szCs w:val="28"/>
        </w:rPr>
      </w:pPr>
      <w:r w:rsidRPr="009C6901">
        <w:rPr>
          <w:rFonts w:ascii="Times New Roman" w:eastAsia="Times New Roman" w:hAnsi="Times New Roman" w:cs="Times New Roman"/>
          <w:b/>
          <w:sz w:val="24"/>
          <w:szCs w:val="28"/>
        </w:rPr>
        <w:t>Latar Belakang</w:t>
      </w:r>
    </w:p>
    <w:p w:rsidR="00634DFC" w:rsidRPr="004B1C3E" w:rsidRDefault="00BC2082" w:rsidP="00634DFC">
      <w:pPr>
        <w:spacing w:after="0" w:line="240" w:lineRule="auto"/>
        <w:ind w:firstLine="567"/>
        <w:jc w:val="both"/>
        <w:rPr>
          <w:rFonts w:ascii="Times New Roman" w:hAnsi="Times New Roman" w:cs="Times New Roman"/>
          <w:sz w:val="24"/>
          <w:szCs w:val="24"/>
        </w:rPr>
      </w:pPr>
      <w:r w:rsidRPr="004B1C3E">
        <w:rPr>
          <w:rFonts w:ascii="Times New Roman" w:hAnsi="Times New Roman" w:cs="Times New Roman"/>
          <w:sz w:val="24"/>
          <w:szCs w:val="24"/>
        </w:rPr>
        <w:t>Ekuitas merek merupakan konsep bisnis yang penting diulas oleh praktisi maupun akademisi bisnis seiring dengan sering dibahasnya merger dan akuisisi.</w:t>
      </w:r>
      <w:r w:rsidR="00634DFC" w:rsidRPr="004B1C3E">
        <w:rPr>
          <w:rFonts w:ascii="Times New Roman" w:hAnsi="Times New Roman" w:cs="Times New Roman"/>
          <w:sz w:val="24"/>
          <w:szCs w:val="24"/>
        </w:rPr>
        <w:t xml:space="preserve"> Hal ini sesuai yang disampaikan oleh Huang (2015), Hasan, Ullah &amp; Bhattacharjee (2015), dan Wardianto (2018) di mana pada tahun 1980-an, kajian ekuitas merek perusahaan merupakan tema yang menarik perhatian dan menjadi pembahasan yang serius pada komunitas bisnis. Ditambahkan oleh Davcik (2013) bahwa ekuitas merek dianggap sebagai asset bisnis perusahaan yang penting sekali baik secara teori maupun praktek pemasaran dewasa ini.</w:t>
      </w:r>
    </w:p>
    <w:p w:rsidR="004367E8" w:rsidRPr="004B1C3E" w:rsidRDefault="00634DFC" w:rsidP="00B21EB5">
      <w:pPr>
        <w:spacing w:after="0" w:line="240" w:lineRule="auto"/>
        <w:ind w:firstLine="567"/>
        <w:jc w:val="both"/>
        <w:rPr>
          <w:rFonts w:ascii="Times New Roman" w:hAnsi="Times New Roman" w:cs="Times New Roman"/>
          <w:iCs/>
          <w:sz w:val="24"/>
          <w:szCs w:val="24"/>
        </w:rPr>
      </w:pPr>
      <w:r w:rsidRPr="004B1C3E">
        <w:rPr>
          <w:rFonts w:ascii="Times New Roman" w:hAnsi="Times New Roman" w:cs="Times New Roman"/>
          <w:sz w:val="24"/>
          <w:szCs w:val="24"/>
        </w:rPr>
        <w:t xml:space="preserve">Penelitian sebelumnya menunjukkan bahwa </w:t>
      </w:r>
      <w:r w:rsidRPr="004B1C3E">
        <w:rPr>
          <w:rFonts w:ascii="Times New Roman" w:hAnsi="Times New Roman" w:cs="Times New Roman"/>
          <w:iCs/>
          <w:sz w:val="24"/>
          <w:szCs w:val="24"/>
        </w:rPr>
        <w:t xml:space="preserve">ekuitas merek yang baik secara empiris terbukti memiliki hubungan yang signifikan dan positif dengan </w:t>
      </w:r>
      <w:r w:rsidR="0096285B" w:rsidRPr="004B1C3E">
        <w:rPr>
          <w:rFonts w:ascii="Times New Roman" w:hAnsi="Times New Roman" w:cs="Times New Roman"/>
          <w:iCs/>
          <w:sz w:val="24"/>
          <w:szCs w:val="24"/>
        </w:rPr>
        <w:t xml:space="preserve">nilai perusahaan (Wang et al., 2015 serta Arora </w:t>
      </w:r>
      <w:r w:rsidR="0096285B" w:rsidRPr="004B1C3E">
        <w:rPr>
          <w:rFonts w:ascii="Times New Roman" w:hAnsi="Times New Roman" w:cs="Times New Roman"/>
          <w:i/>
          <w:iCs/>
          <w:sz w:val="24"/>
          <w:szCs w:val="24"/>
        </w:rPr>
        <w:t>and</w:t>
      </w:r>
      <w:r w:rsidR="0096285B" w:rsidRPr="004B1C3E">
        <w:rPr>
          <w:rFonts w:ascii="Times New Roman" w:hAnsi="Times New Roman" w:cs="Times New Roman"/>
          <w:iCs/>
          <w:sz w:val="24"/>
          <w:szCs w:val="24"/>
        </w:rPr>
        <w:t xml:space="preserve"> Chaudhany, 2016)</w:t>
      </w:r>
      <w:r w:rsidR="00D96973" w:rsidRPr="004B1C3E">
        <w:rPr>
          <w:rFonts w:ascii="Times New Roman" w:hAnsi="Times New Roman" w:cs="Times New Roman"/>
          <w:iCs/>
          <w:sz w:val="24"/>
          <w:szCs w:val="24"/>
        </w:rPr>
        <w:t xml:space="preserve">. Sebaliknya penelitian yang dilakukan oleh Ukiwe (2009) justru menunjukkan bahwa ekuitas merek berpengaruh tidak signifikan terhadap nilai perusahaan. </w:t>
      </w:r>
    </w:p>
    <w:p w:rsidR="00B21EB5" w:rsidRDefault="00D96973" w:rsidP="00B21EB5">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Penelitian ini bertujuan untuk melihat konsistensi nilai strategis ekuitas merek bagi perusahaan. </w:t>
      </w:r>
      <w:r w:rsidR="0022520A">
        <w:rPr>
          <w:rFonts w:ascii="Times New Roman" w:hAnsi="Times New Roman" w:cs="Times New Roman"/>
          <w:iCs/>
          <w:sz w:val="24"/>
          <w:szCs w:val="24"/>
        </w:rPr>
        <w:t xml:space="preserve">Masih jarang penelitian yang mengungkapkan nilai strategis ekuitas merek bagi perusahaan di Indonesia. </w:t>
      </w:r>
      <w:r w:rsidR="00B21EB5">
        <w:rPr>
          <w:rFonts w:ascii="Times New Roman" w:hAnsi="Times New Roman" w:cs="Times New Roman"/>
          <w:iCs/>
          <w:sz w:val="24"/>
          <w:szCs w:val="24"/>
        </w:rPr>
        <w:t>Penelitian ini untuk menguji ulang nilai strategis</w:t>
      </w:r>
      <w:r w:rsidR="0022520A">
        <w:rPr>
          <w:rFonts w:ascii="Times New Roman" w:hAnsi="Times New Roman" w:cs="Times New Roman"/>
          <w:iCs/>
          <w:sz w:val="24"/>
          <w:szCs w:val="24"/>
        </w:rPr>
        <w:t xml:space="preserve"> ekuitas merek bagi perusahaan di Indonesia. </w:t>
      </w:r>
      <w:r w:rsidR="00B36F3C">
        <w:rPr>
          <w:rFonts w:ascii="Times New Roman" w:hAnsi="Times New Roman" w:cs="Times New Roman"/>
          <w:iCs/>
          <w:sz w:val="24"/>
          <w:szCs w:val="24"/>
        </w:rPr>
        <w:t>Penelitian ini bertujuan mengetahui pengaruh ekuitas merek</w:t>
      </w:r>
      <w:r w:rsidR="00FC6C5C">
        <w:rPr>
          <w:rFonts w:ascii="Times New Roman" w:hAnsi="Times New Roman" w:cs="Times New Roman"/>
          <w:iCs/>
          <w:sz w:val="24"/>
          <w:szCs w:val="24"/>
        </w:rPr>
        <w:t xml:space="preserve"> terhadap</w:t>
      </w:r>
      <w:r>
        <w:rPr>
          <w:rFonts w:ascii="Times New Roman" w:hAnsi="Times New Roman" w:cs="Times New Roman"/>
          <w:iCs/>
          <w:sz w:val="24"/>
          <w:szCs w:val="24"/>
        </w:rPr>
        <w:t xml:space="preserve"> nilai perusahaan di Indonesia. Sampel yang digunakan dalam penelitian ini adalah perusahaan barang sektor konsumsi yang terdaftar di Bursa Efek Indonesia tahun 2012-2018.</w:t>
      </w:r>
    </w:p>
    <w:p w:rsidR="00B64E16" w:rsidRDefault="00B64E16" w:rsidP="00B64E16">
      <w:pPr>
        <w:spacing w:after="0" w:line="240" w:lineRule="auto"/>
        <w:jc w:val="both"/>
        <w:rPr>
          <w:rFonts w:ascii="Times New Roman" w:hAnsi="Times New Roman" w:cs="Times New Roman"/>
          <w:iCs/>
          <w:sz w:val="24"/>
          <w:szCs w:val="24"/>
        </w:rPr>
      </w:pPr>
    </w:p>
    <w:p w:rsidR="00B64E16" w:rsidRDefault="00B64E16" w:rsidP="00B64E1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Review Literatur</w:t>
      </w:r>
    </w:p>
    <w:p w:rsidR="00EA24A4" w:rsidRPr="004B1C3E" w:rsidRDefault="00EA24A4" w:rsidP="00EA24A4">
      <w:pPr>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Merek didefinisikan sebagai ”nama yang membedakan dan / atau symbol (yaitu, logo, merek dagang, atau desain paket) yang dimaksudkan untuk mengidentifikasi barang atau jasa dari salah satu penjual atau kelompok penjual dan untuk membedakan barang-barang atau jasa dari para pesaing” (Aaker, 1991; Hirose </w:t>
      </w:r>
      <w:r w:rsidRPr="004B1C3E">
        <w:rPr>
          <w:rFonts w:ascii="Times New Roman" w:hAnsi="Times New Roman" w:cs="Times New Roman"/>
          <w:i/>
          <w:sz w:val="24"/>
          <w:szCs w:val="24"/>
        </w:rPr>
        <w:t>et al.,</w:t>
      </w:r>
      <w:r w:rsidRPr="004B1C3E">
        <w:rPr>
          <w:rFonts w:ascii="Times New Roman" w:hAnsi="Times New Roman" w:cs="Times New Roman"/>
          <w:sz w:val="24"/>
          <w:szCs w:val="24"/>
        </w:rPr>
        <w:t xml:space="preserve"> 2002). Sebuah merek adalah esensi atau janji yang dikirimkan ke pembeli atau dialami oleh pembeli (Lee, 2012). Dengan demikian merek </w:t>
      </w:r>
      <w:r w:rsidRPr="004B1C3E">
        <w:rPr>
          <w:rFonts w:ascii="Times New Roman" w:hAnsi="Times New Roman" w:cs="Times New Roman"/>
          <w:sz w:val="24"/>
          <w:szCs w:val="24"/>
        </w:rPr>
        <w:lastRenderedPageBreak/>
        <w:t>adalah alat yang kuat dan memiliki peran komunikatif dan informatif yang signifikan baik bagi pelanggan dan manajer (Aydin and Ulengin, 2015).</w:t>
      </w:r>
    </w:p>
    <w:p w:rsidR="00EA24A4" w:rsidRPr="004B1C3E" w:rsidRDefault="00EA24A4" w:rsidP="00EA24A4">
      <w:pPr>
        <w:tabs>
          <w:tab w:val="left" w:pos="709"/>
          <w:tab w:val="left" w:pos="2796"/>
        </w:tabs>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Merek merupakan asset pemasaran yang mendorong laba saat ini dan masa depan untuk perusahaan (Keller, 1998). Sehingga membangun dan mengelola merek telah menjadi prioritas bagi perusahaan-perusahaan dari semua ukuran di berbagai industri untuk memaksimalkan nilai asset tidak berwujud ini menjadi signifikan (Lehmann </w:t>
      </w:r>
      <w:r w:rsidRPr="004B1C3E">
        <w:rPr>
          <w:rFonts w:ascii="Times New Roman" w:hAnsi="Times New Roman" w:cs="Times New Roman"/>
          <w:i/>
          <w:sz w:val="24"/>
          <w:szCs w:val="24"/>
        </w:rPr>
        <w:t>et al.</w:t>
      </w:r>
      <w:r w:rsidRPr="004B1C3E">
        <w:rPr>
          <w:rFonts w:ascii="Times New Roman" w:hAnsi="Times New Roman" w:cs="Times New Roman"/>
          <w:sz w:val="24"/>
          <w:szCs w:val="24"/>
        </w:rPr>
        <w:t>, 2008). Hal ini karena merek sering diklaim memiliki masa manfaat ekonomis yang tak terbatas (</w:t>
      </w:r>
      <w:r w:rsidRPr="004B1C3E">
        <w:rPr>
          <w:rFonts w:ascii="Times New Roman" w:hAnsi="Times New Roman" w:cs="Times New Roman"/>
          <w:iCs/>
          <w:sz w:val="24"/>
          <w:szCs w:val="24"/>
        </w:rPr>
        <w:t xml:space="preserve">Arora </w:t>
      </w:r>
      <w:r w:rsidRPr="004B1C3E">
        <w:rPr>
          <w:rFonts w:ascii="Times New Roman" w:hAnsi="Times New Roman" w:cs="Times New Roman"/>
          <w:i/>
          <w:iCs/>
          <w:sz w:val="24"/>
          <w:szCs w:val="24"/>
        </w:rPr>
        <w:t>and</w:t>
      </w:r>
      <w:r w:rsidRPr="004B1C3E">
        <w:rPr>
          <w:rFonts w:ascii="Times New Roman" w:hAnsi="Times New Roman" w:cs="Times New Roman"/>
          <w:iCs/>
          <w:sz w:val="24"/>
          <w:szCs w:val="24"/>
        </w:rPr>
        <w:t xml:space="preserve"> Chaudhany, 2016)</w:t>
      </w:r>
      <w:r w:rsidRPr="004B1C3E">
        <w:rPr>
          <w:rFonts w:ascii="Times New Roman" w:hAnsi="Times New Roman" w:cs="Times New Roman"/>
          <w:sz w:val="24"/>
          <w:szCs w:val="24"/>
        </w:rPr>
        <w:t>.</w:t>
      </w:r>
    </w:p>
    <w:p w:rsidR="00EA24A4" w:rsidRPr="004B1C3E" w:rsidRDefault="00EA24A4" w:rsidP="00EA24A4">
      <w:pPr>
        <w:tabs>
          <w:tab w:val="left" w:pos="709"/>
          <w:tab w:val="left" w:pos="2796"/>
        </w:tabs>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Ekuitas merek didefinisikan sebagai kapasitas sebuah merek untuk menghasilkan nilai arus masa depan, baik melalui kemampuannya untuk mengambil harga premium dari konsumen, atau melalui kemampuannya untuk menarik modal, atau memfasilitasi hubungan dengan pihak yang berkepentingan (Arvidsson, 2006). Ekuitas merek adalah nilai tambah bahwa produk mencapai hasil dari investasi masa lalu dalam kegiatan pemasaran untuk merek tersebut (Keller, 2003). </w:t>
      </w:r>
    </w:p>
    <w:p w:rsidR="00EA24A4" w:rsidRPr="004B1C3E" w:rsidRDefault="00EA24A4" w:rsidP="00EA24A4">
      <w:pPr>
        <w:tabs>
          <w:tab w:val="left" w:pos="709"/>
          <w:tab w:val="left" w:pos="2796"/>
        </w:tabs>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Sulit untuk memahami bagaimana mengelola nilai tambah dari sebuah merek tanpa mengetahui nilai merek sebenarnya yang menambah produk (Cobb-Walgren, </w:t>
      </w:r>
      <w:r w:rsidR="00E37FDD" w:rsidRPr="004B1C3E">
        <w:rPr>
          <w:rFonts w:ascii="Times New Roman" w:hAnsi="Times New Roman" w:cs="Times New Roman"/>
          <w:sz w:val="24"/>
          <w:szCs w:val="24"/>
        </w:rPr>
        <w:t xml:space="preserve">Ruble </w:t>
      </w:r>
      <w:r w:rsidRPr="004B1C3E">
        <w:rPr>
          <w:rFonts w:ascii="Times New Roman" w:hAnsi="Times New Roman" w:cs="Times New Roman"/>
          <w:sz w:val="24"/>
          <w:szCs w:val="24"/>
        </w:rPr>
        <w:t>&amp; Donthu, 1996). Konsep ekuitas merek dapat dipahami dari perspektif empat pemain utama, yaitu investor (atau pemilik-merek), produsen, pengecer, dan konsumen atau pelanggan (Ukiwe, 2009), di mana merek menambah nilai produk untuk masing-masing empat pemain utama ini.</w:t>
      </w:r>
    </w:p>
    <w:p w:rsidR="00EA24A4" w:rsidRPr="004B1C3E" w:rsidRDefault="00EA24A4" w:rsidP="00EA24A4">
      <w:pPr>
        <w:tabs>
          <w:tab w:val="left" w:pos="709"/>
          <w:tab w:val="left" w:pos="2796"/>
        </w:tabs>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Merek merupakan strategi dan aktivitas bauran pemasaran pada masa lalu dan sekarang yang berhubungan dengan merek, sehingga dengan adanya informasi asimetris dan tidak sempurna maka merek dapat berfungsi sebagai sinyal pasar yang kredibel (Erdem and Swait, 1998). Hal ini sesuai dengan s</w:t>
      </w:r>
      <w:r w:rsidRPr="004B1C3E">
        <w:rPr>
          <w:rFonts w:ascii="Times New Roman" w:hAnsi="Times New Roman" w:cs="Times New Roman"/>
          <w:i/>
          <w:sz w:val="24"/>
          <w:szCs w:val="24"/>
        </w:rPr>
        <w:t xml:space="preserve">ignaling theory, </w:t>
      </w:r>
      <w:r w:rsidRPr="004B1C3E">
        <w:rPr>
          <w:rFonts w:ascii="Times New Roman" w:hAnsi="Times New Roman" w:cs="Times New Roman"/>
          <w:sz w:val="24"/>
          <w:szCs w:val="24"/>
        </w:rPr>
        <w:t>dimana salah satu asumsi yang dijadikan sebagai dasar pemikiran adalah adanya asimetri informasi</w:t>
      </w:r>
      <w:r w:rsidRPr="004B1C3E">
        <w:rPr>
          <w:rFonts w:ascii="Times New Roman" w:hAnsi="Times New Roman" w:cs="Times New Roman"/>
          <w:i/>
          <w:sz w:val="24"/>
          <w:szCs w:val="24"/>
        </w:rPr>
        <w:t xml:space="preserve"> </w:t>
      </w:r>
      <w:r w:rsidRPr="004B1C3E">
        <w:rPr>
          <w:rFonts w:ascii="Times New Roman" w:hAnsi="Times New Roman" w:cs="Times New Roman"/>
          <w:sz w:val="24"/>
          <w:szCs w:val="24"/>
        </w:rPr>
        <w:t xml:space="preserve">(Bhattacharyya, 1979). </w:t>
      </w:r>
      <w:r w:rsidRPr="004B1C3E">
        <w:rPr>
          <w:rFonts w:ascii="Times New Roman" w:hAnsi="Times New Roman" w:cs="Times New Roman"/>
          <w:i/>
          <w:sz w:val="24"/>
          <w:szCs w:val="24"/>
        </w:rPr>
        <w:t>Signaling theory</w:t>
      </w:r>
      <w:r w:rsidRPr="004B1C3E">
        <w:rPr>
          <w:rFonts w:ascii="Times New Roman" w:hAnsi="Times New Roman" w:cs="Times New Roman"/>
          <w:sz w:val="24"/>
          <w:szCs w:val="24"/>
        </w:rPr>
        <w:t xml:space="preserve"> menunjukkan bahwa kredibilitas sinyal menentukan apakah sinyal pasar menyampaikan informasi secara efektif (Tirole, 1990).</w:t>
      </w:r>
    </w:p>
    <w:p w:rsidR="00EA24A4" w:rsidRPr="004B1C3E" w:rsidRDefault="00EA24A4" w:rsidP="00EA24A4">
      <w:pPr>
        <w:tabs>
          <w:tab w:val="left" w:pos="709"/>
          <w:tab w:val="left" w:pos="2796"/>
        </w:tabs>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Ekuitas merek yang baik dianggap sebagai sinyal positif mengenai kondisi perusahaan oleh investor. Kondisi perusahaan yang baik ini membuat investor bersedia membayar harga saham perusahaan yang bersangkutan dengan harga yang tinggi di pasar modal. Kesediaan investor ini karena informasi mengenai kondisi perusahaan bisa membantu investor untuk membuat prediksi mengenai pendapatan, dividen, dan arus kas bebas di masa mendatang (Enrhardt </w:t>
      </w:r>
      <w:r w:rsidRPr="004B1C3E">
        <w:rPr>
          <w:rFonts w:ascii="Times New Roman" w:hAnsi="Times New Roman" w:cs="Times New Roman"/>
          <w:i/>
          <w:sz w:val="24"/>
          <w:szCs w:val="24"/>
        </w:rPr>
        <w:t>and</w:t>
      </w:r>
      <w:r w:rsidRPr="004B1C3E">
        <w:rPr>
          <w:rFonts w:ascii="Times New Roman" w:hAnsi="Times New Roman" w:cs="Times New Roman"/>
          <w:sz w:val="24"/>
          <w:szCs w:val="24"/>
        </w:rPr>
        <w:t xml:space="preserve"> Brigham, 2011: 88). Peningkatan harga saham ini bisa meningkatan </w:t>
      </w:r>
      <w:r w:rsidRPr="004B1C3E">
        <w:rPr>
          <w:rFonts w:ascii="Times New Roman" w:hAnsi="Times New Roman" w:cs="Times New Roman"/>
          <w:i/>
          <w:sz w:val="24"/>
          <w:szCs w:val="24"/>
        </w:rPr>
        <w:t>return</w:t>
      </w:r>
      <w:r w:rsidRPr="004B1C3E">
        <w:rPr>
          <w:rFonts w:ascii="Times New Roman" w:hAnsi="Times New Roman" w:cs="Times New Roman"/>
          <w:sz w:val="24"/>
          <w:szCs w:val="24"/>
        </w:rPr>
        <w:t xml:space="preserve"> atau keuntungan pemilik saham yang pada akhirnya bisa meningkatkan nilai perusahaan.</w:t>
      </w:r>
    </w:p>
    <w:p w:rsidR="00EA24A4" w:rsidRPr="004B1C3E" w:rsidRDefault="001A75CC" w:rsidP="001A75CC">
      <w:pPr>
        <w:spacing w:after="0" w:line="240" w:lineRule="auto"/>
        <w:jc w:val="both"/>
        <w:rPr>
          <w:rFonts w:ascii="Times New Roman" w:hAnsi="Times New Roman" w:cs="Times New Roman"/>
          <w:sz w:val="24"/>
          <w:szCs w:val="24"/>
        </w:rPr>
      </w:pPr>
      <w:r w:rsidRPr="004B1C3E">
        <w:rPr>
          <w:rFonts w:ascii="Times New Roman" w:hAnsi="Times New Roman" w:cs="Times New Roman"/>
          <w:iCs/>
          <w:sz w:val="24"/>
          <w:szCs w:val="24"/>
        </w:rPr>
        <w:t>P</w:t>
      </w:r>
      <w:r w:rsidR="00EA24A4" w:rsidRPr="004B1C3E">
        <w:rPr>
          <w:rFonts w:ascii="Times New Roman" w:hAnsi="Times New Roman" w:cs="Times New Roman"/>
          <w:sz w:val="24"/>
          <w:szCs w:val="24"/>
        </w:rPr>
        <w:t>enelitian yang mengeksplorasi ekuitas merek</w:t>
      </w:r>
      <w:r w:rsidRPr="004B1C3E">
        <w:rPr>
          <w:rFonts w:ascii="Times New Roman" w:hAnsi="Times New Roman" w:cs="Times New Roman"/>
          <w:sz w:val="24"/>
          <w:szCs w:val="24"/>
        </w:rPr>
        <w:t xml:space="preserve"> dalam perspektif keuangan di Indonesia masih jarang ditemukan</w:t>
      </w:r>
      <w:r w:rsidR="00EA24A4" w:rsidRPr="004B1C3E">
        <w:rPr>
          <w:rFonts w:ascii="Times New Roman" w:hAnsi="Times New Roman" w:cs="Times New Roman"/>
          <w:sz w:val="24"/>
          <w:szCs w:val="24"/>
        </w:rPr>
        <w:t xml:space="preserve">. </w:t>
      </w:r>
      <w:r w:rsidRPr="004B1C3E">
        <w:rPr>
          <w:rFonts w:ascii="Times New Roman" w:hAnsi="Times New Roman" w:cs="Times New Roman"/>
          <w:sz w:val="24"/>
          <w:szCs w:val="24"/>
        </w:rPr>
        <w:t xml:space="preserve">Penelitian yang mengeksplorasi ekuitas merek sering kali dilakukan dengan pendekatan pemasaran. Padahal ekuitas merek bisa juga dinilai dengan menggunakan perspesktif keuangan. </w:t>
      </w:r>
      <w:r w:rsidR="00EA24A4" w:rsidRPr="004B1C3E">
        <w:rPr>
          <w:rFonts w:ascii="Times New Roman" w:hAnsi="Times New Roman" w:cs="Times New Roman"/>
          <w:sz w:val="24"/>
          <w:szCs w:val="24"/>
        </w:rPr>
        <w:t>Sehingga hal ini menjadi novelty dalam penelitian ini.</w:t>
      </w:r>
    </w:p>
    <w:p w:rsidR="00AF6B4F" w:rsidRPr="004B1C3E" w:rsidRDefault="00E00A3B" w:rsidP="001A75CC">
      <w:pPr>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 xml:space="preserve">Penelitian ini menggunakan struktur modal dan profitabilitas sebagai varaibel kontrol. Peningkatan penggunaan </w:t>
      </w:r>
      <w:r w:rsidRPr="004B1C3E">
        <w:rPr>
          <w:rFonts w:ascii="Times New Roman" w:hAnsi="Times New Roman" w:cs="Times New Roman"/>
          <w:i/>
          <w:sz w:val="24"/>
          <w:szCs w:val="24"/>
        </w:rPr>
        <w:t xml:space="preserve">leverage </w:t>
      </w:r>
      <w:r w:rsidRPr="004B1C3E">
        <w:rPr>
          <w:rFonts w:ascii="Times New Roman" w:hAnsi="Times New Roman" w:cs="Times New Roman"/>
          <w:sz w:val="24"/>
          <w:szCs w:val="24"/>
        </w:rPr>
        <w:t xml:space="preserve">dalam perusahaan dapat meningkatkan nilai perusahaan. Pengaruh struktur modal terhadap nilai perusahaan ini untuk menguji teori Modigliani </w:t>
      </w:r>
      <w:r w:rsidRPr="004B1C3E">
        <w:rPr>
          <w:rFonts w:ascii="Times New Roman" w:hAnsi="Times New Roman" w:cs="Times New Roman"/>
          <w:i/>
          <w:sz w:val="24"/>
          <w:szCs w:val="24"/>
        </w:rPr>
        <w:t>and</w:t>
      </w:r>
      <w:r w:rsidRPr="004B1C3E">
        <w:rPr>
          <w:rFonts w:ascii="Times New Roman" w:hAnsi="Times New Roman" w:cs="Times New Roman"/>
          <w:sz w:val="24"/>
          <w:szCs w:val="24"/>
        </w:rPr>
        <w:t xml:space="preserve"> Miller (1963). Berdasarkan teori Modigliani </w:t>
      </w:r>
      <w:r w:rsidRPr="004B1C3E">
        <w:rPr>
          <w:rFonts w:ascii="Times New Roman" w:hAnsi="Times New Roman" w:cs="Times New Roman"/>
          <w:i/>
          <w:sz w:val="24"/>
          <w:szCs w:val="24"/>
        </w:rPr>
        <w:t>and</w:t>
      </w:r>
      <w:r w:rsidRPr="004B1C3E">
        <w:rPr>
          <w:rFonts w:ascii="Times New Roman" w:hAnsi="Times New Roman" w:cs="Times New Roman"/>
          <w:sz w:val="24"/>
          <w:szCs w:val="24"/>
        </w:rPr>
        <w:t xml:space="preserve"> Miller (1963) ini nilai perusahaan bisa meningkat karena adanya pembayaran bunga atas utang yang dimilik perusahaan. Pembayaran bunga karena adanya utang ini bisa mengurangkan pembayaran pajak kepada pemerintah, sehingga laba operasi untuk bagian investor menjadi bertambah dan pada akhirnya nilai perusahaan bisa meningkat.</w:t>
      </w:r>
      <w:r w:rsidR="00AF6B4F" w:rsidRPr="004B1C3E">
        <w:rPr>
          <w:rFonts w:ascii="Times New Roman" w:hAnsi="Times New Roman" w:cs="Times New Roman"/>
          <w:sz w:val="24"/>
          <w:szCs w:val="24"/>
        </w:rPr>
        <w:t xml:space="preserve"> Secara empiris penelitian yang dilakukan oleh </w:t>
      </w:r>
      <w:r w:rsidR="00AF6B4F" w:rsidRPr="004B1C3E">
        <w:rPr>
          <w:rFonts w:ascii="Times New Roman" w:hAnsi="Times New Roman" w:cs="Times New Roman"/>
          <w:bCs/>
          <w:sz w:val="24"/>
          <w:szCs w:val="24"/>
        </w:rPr>
        <w:t xml:space="preserve">Wang, et al (2015) serta </w:t>
      </w:r>
      <w:r w:rsidR="00AF6B4F" w:rsidRPr="004B1C3E">
        <w:rPr>
          <w:rFonts w:ascii="Times New Roman" w:eastAsia="Times New Roman" w:hAnsi="Times New Roman" w:cs="Times New Roman"/>
          <w:bCs/>
          <w:color w:val="000000"/>
          <w:sz w:val="24"/>
          <w:szCs w:val="24"/>
        </w:rPr>
        <w:t xml:space="preserve">Arora </w:t>
      </w:r>
      <w:r w:rsidR="00AF6B4F" w:rsidRPr="004B1C3E">
        <w:rPr>
          <w:rFonts w:ascii="Times New Roman" w:eastAsia="Times New Roman" w:hAnsi="Times New Roman" w:cs="Times New Roman"/>
          <w:bCs/>
          <w:i/>
          <w:color w:val="000000"/>
          <w:sz w:val="24"/>
          <w:szCs w:val="24"/>
        </w:rPr>
        <w:t>and</w:t>
      </w:r>
      <w:r w:rsidR="00AF6B4F" w:rsidRPr="004B1C3E">
        <w:rPr>
          <w:rFonts w:ascii="Times New Roman" w:eastAsia="Times New Roman" w:hAnsi="Times New Roman" w:cs="Times New Roman"/>
          <w:bCs/>
          <w:color w:val="000000"/>
          <w:sz w:val="24"/>
          <w:szCs w:val="24"/>
        </w:rPr>
        <w:t xml:space="preserve"> Chaudhary (2016</w:t>
      </w:r>
      <w:r w:rsidR="00AF6B4F" w:rsidRPr="004B1C3E">
        <w:rPr>
          <w:rFonts w:ascii="Times New Roman" w:hAnsi="Times New Roman" w:cs="Times New Roman"/>
          <w:bCs/>
          <w:sz w:val="24"/>
          <w:szCs w:val="24"/>
        </w:rPr>
        <w:t>) juga menunjukkan bahwa struktur modal berpengaruh signifikan terhadap nilai perusahaan.</w:t>
      </w:r>
    </w:p>
    <w:p w:rsidR="00E00A3B" w:rsidRPr="004B1C3E" w:rsidRDefault="00E00A3B" w:rsidP="001A75CC">
      <w:pPr>
        <w:spacing w:after="0" w:line="240" w:lineRule="auto"/>
        <w:jc w:val="both"/>
        <w:rPr>
          <w:rFonts w:ascii="Times New Roman" w:hAnsi="Times New Roman" w:cs="Times New Roman"/>
          <w:sz w:val="24"/>
          <w:szCs w:val="24"/>
        </w:rPr>
      </w:pPr>
      <w:r w:rsidRPr="004B1C3E">
        <w:rPr>
          <w:rFonts w:ascii="Times New Roman" w:hAnsi="Times New Roman" w:cs="Times New Roman"/>
          <w:sz w:val="24"/>
          <w:szCs w:val="24"/>
        </w:rPr>
        <w:t>Profitabilitas yang tinggi bisa meningkatkan nilai perusahaan, pernyataan ini sesuai dengan teori</w:t>
      </w:r>
      <w:r w:rsidRPr="004B1C3E">
        <w:rPr>
          <w:rFonts w:ascii="Times New Roman" w:hAnsi="Times New Roman" w:cs="Times New Roman"/>
          <w:i/>
          <w:sz w:val="24"/>
          <w:szCs w:val="24"/>
        </w:rPr>
        <w:t xml:space="preserve"> </w:t>
      </w:r>
      <w:r w:rsidRPr="004B1C3E">
        <w:rPr>
          <w:rFonts w:ascii="Times New Roman" w:hAnsi="Times New Roman" w:cs="Times New Roman"/>
          <w:sz w:val="24"/>
          <w:szCs w:val="24"/>
        </w:rPr>
        <w:t xml:space="preserve">Modigliani </w:t>
      </w:r>
      <w:r w:rsidRPr="004B1C3E">
        <w:rPr>
          <w:rFonts w:ascii="Times New Roman" w:hAnsi="Times New Roman" w:cs="Times New Roman"/>
          <w:i/>
          <w:sz w:val="24"/>
          <w:szCs w:val="24"/>
        </w:rPr>
        <w:t>and</w:t>
      </w:r>
      <w:r w:rsidRPr="004B1C3E">
        <w:rPr>
          <w:rFonts w:ascii="Times New Roman" w:hAnsi="Times New Roman" w:cs="Times New Roman"/>
          <w:sz w:val="24"/>
          <w:szCs w:val="24"/>
        </w:rPr>
        <w:t xml:space="preserve"> Miller (1963). Berdasarkan teori ini dengan adanya profitabilitas yang </w:t>
      </w:r>
      <w:r w:rsidRPr="004B1C3E">
        <w:rPr>
          <w:rFonts w:ascii="Times New Roman" w:hAnsi="Times New Roman" w:cs="Times New Roman"/>
          <w:sz w:val="24"/>
          <w:szCs w:val="24"/>
        </w:rPr>
        <w:lastRenderedPageBreak/>
        <w:t>tinggi maka akan meningkatkan aliran kas dari laba operasi untuk pemiliki perusahaan. Peningkatan aliran kas ini bermakna meningkatnya ketersediaan kas untuk pemilik perusahaan. Ketersediaan kas untuk pemilik perusahaan ini nantinya bisa saja dibagikan ke dalam dividen atau ditahan dalam perusahaan untuk pengembangan bisnis lebih lanjut.</w:t>
      </w:r>
      <w:r w:rsidR="009D013D" w:rsidRPr="004B1C3E">
        <w:rPr>
          <w:rFonts w:ascii="Times New Roman" w:hAnsi="Times New Roman" w:cs="Times New Roman"/>
          <w:sz w:val="24"/>
          <w:szCs w:val="24"/>
        </w:rPr>
        <w:t xml:space="preserve"> Ansar, </w:t>
      </w:r>
      <w:r w:rsidR="009D013D" w:rsidRPr="004B1C3E">
        <w:rPr>
          <w:rFonts w:ascii="Times New Roman" w:hAnsi="Times New Roman" w:cs="Times New Roman"/>
          <w:bCs/>
          <w:i/>
          <w:sz w:val="24"/>
          <w:szCs w:val="24"/>
        </w:rPr>
        <w:t>et al.</w:t>
      </w:r>
      <w:r w:rsidR="009D013D" w:rsidRPr="004B1C3E">
        <w:rPr>
          <w:rFonts w:ascii="Times New Roman" w:hAnsi="Times New Roman" w:cs="Times New Roman"/>
          <w:sz w:val="24"/>
          <w:szCs w:val="24"/>
        </w:rPr>
        <w:t xml:space="preserve"> (2015); Akit, </w:t>
      </w:r>
      <w:r w:rsidR="009D013D" w:rsidRPr="004B1C3E">
        <w:rPr>
          <w:rFonts w:ascii="Times New Roman" w:hAnsi="Times New Roman" w:cs="Times New Roman"/>
          <w:bCs/>
          <w:i/>
          <w:sz w:val="24"/>
          <w:szCs w:val="24"/>
        </w:rPr>
        <w:t>et al.</w:t>
      </w:r>
      <w:r w:rsidR="009D013D" w:rsidRPr="004B1C3E">
        <w:rPr>
          <w:rFonts w:ascii="Times New Roman" w:hAnsi="Times New Roman" w:cs="Times New Roman"/>
          <w:sz w:val="24"/>
          <w:szCs w:val="24"/>
        </w:rPr>
        <w:t xml:space="preserve"> (2015); Sharif, </w:t>
      </w:r>
      <w:r w:rsidR="009D013D" w:rsidRPr="004B1C3E">
        <w:rPr>
          <w:rFonts w:ascii="Times New Roman" w:hAnsi="Times New Roman" w:cs="Times New Roman"/>
          <w:bCs/>
          <w:i/>
          <w:sz w:val="24"/>
          <w:szCs w:val="24"/>
        </w:rPr>
        <w:t>et al.</w:t>
      </w:r>
      <w:r w:rsidR="009D013D" w:rsidRPr="004B1C3E">
        <w:rPr>
          <w:rFonts w:ascii="Times New Roman" w:hAnsi="Times New Roman" w:cs="Times New Roman"/>
          <w:sz w:val="24"/>
          <w:szCs w:val="24"/>
        </w:rPr>
        <w:t xml:space="preserve"> (2015); Al Masum (2014); serta Majanga (2015) dalam penelitian mereka menghasilkan profitabilitas berpengaruh signifikan terhadap nilai perusahaan.</w:t>
      </w:r>
    </w:p>
    <w:p w:rsidR="00EA24A4" w:rsidRPr="006F2855" w:rsidRDefault="00EA24A4" w:rsidP="00EA24A4">
      <w:pPr>
        <w:spacing w:after="0" w:line="240" w:lineRule="auto"/>
        <w:jc w:val="both"/>
        <w:rPr>
          <w:rFonts w:ascii="Times New Roman" w:eastAsia="PMingLiU" w:hAnsi="Times New Roman" w:cs="Times New Roman"/>
          <w:sz w:val="24"/>
          <w:szCs w:val="24"/>
        </w:rPr>
      </w:pPr>
      <w:r w:rsidRPr="006F2855">
        <w:rPr>
          <w:rFonts w:ascii="Times New Roman" w:eastAsia="PMingLiU" w:hAnsi="Times New Roman" w:cs="Times New Roman"/>
          <w:sz w:val="24"/>
          <w:szCs w:val="24"/>
        </w:rPr>
        <w:t xml:space="preserve">Singkatnya, tinjauan literatur menunjukkan bahwa ada korelasi positif antara ekuitas merek dan kinerja </w:t>
      </w:r>
      <w:r>
        <w:rPr>
          <w:rFonts w:ascii="Times New Roman" w:eastAsia="PMingLiU" w:hAnsi="Times New Roman" w:cs="Times New Roman"/>
          <w:sz w:val="24"/>
          <w:szCs w:val="24"/>
        </w:rPr>
        <w:t>perusahaan</w:t>
      </w:r>
      <w:r w:rsidRPr="006F2855">
        <w:rPr>
          <w:rFonts w:ascii="Times New Roman" w:eastAsia="PMingLiU" w:hAnsi="Times New Roman" w:cs="Times New Roman"/>
          <w:sz w:val="24"/>
          <w:szCs w:val="24"/>
        </w:rPr>
        <w:t>. Berdasarkan ulasan literatur, penelitian ini memberikan hipotesis yang dapat diuji bahwa ada pengaruh antara ekuitas merek terhadap kinerja</w:t>
      </w:r>
      <w:r>
        <w:rPr>
          <w:rFonts w:ascii="Times New Roman" w:eastAsia="PMingLiU" w:hAnsi="Times New Roman" w:cs="Times New Roman"/>
          <w:sz w:val="24"/>
          <w:szCs w:val="24"/>
        </w:rPr>
        <w:t xml:space="preserve"> perusahaan</w:t>
      </w:r>
      <w:r w:rsidRPr="006F2855">
        <w:rPr>
          <w:rFonts w:ascii="Times New Roman" w:eastAsia="PMingLiU" w:hAnsi="Times New Roman" w:cs="Times New Roman"/>
          <w:sz w:val="24"/>
          <w:szCs w:val="24"/>
        </w:rPr>
        <w:t>.</w:t>
      </w:r>
    </w:p>
    <w:p w:rsidR="00B64E16" w:rsidRDefault="00B64E16" w:rsidP="00B64E16">
      <w:pPr>
        <w:spacing w:after="0" w:line="240" w:lineRule="auto"/>
        <w:jc w:val="both"/>
        <w:rPr>
          <w:rFonts w:ascii="Times New Roman" w:hAnsi="Times New Roman" w:cs="Times New Roman"/>
          <w:b/>
          <w:iCs/>
          <w:sz w:val="24"/>
          <w:szCs w:val="24"/>
        </w:rPr>
      </w:pPr>
    </w:p>
    <w:p w:rsidR="00B64E16" w:rsidRDefault="00B64E16" w:rsidP="00B64E1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Metode</w:t>
      </w:r>
    </w:p>
    <w:p w:rsidR="00692678" w:rsidRPr="006F2855" w:rsidRDefault="00692678" w:rsidP="00692678">
      <w:pPr>
        <w:spacing w:after="0" w:line="240" w:lineRule="auto"/>
        <w:jc w:val="both"/>
        <w:rPr>
          <w:rFonts w:ascii="Times New Roman" w:hAnsi="Times New Roman" w:cs="Times New Roman"/>
          <w:sz w:val="24"/>
          <w:szCs w:val="24"/>
        </w:rPr>
      </w:pPr>
      <w:r w:rsidRPr="006F2855">
        <w:rPr>
          <w:rFonts w:ascii="Times New Roman" w:hAnsi="Times New Roman" w:cs="Times New Roman"/>
          <w:color w:val="231F20"/>
          <w:w w:val="120"/>
          <w:sz w:val="24"/>
          <w:szCs w:val="24"/>
        </w:rPr>
        <w:t>Penelitian ini mengikuti Wa</w:t>
      </w:r>
      <w:r>
        <w:rPr>
          <w:rFonts w:ascii="Times New Roman" w:hAnsi="Times New Roman" w:cs="Times New Roman"/>
          <w:color w:val="231F20"/>
          <w:w w:val="120"/>
          <w:sz w:val="24"/>
          <w:szCs w:val="24"/>
        </w:rPr>
        <w:t>rdinto, et al. (2018</w:t>
      </w:r>
      <w:r w:rsidRPr="006F2855">
        <w:rPr>
          <w:rFonts w:ascii="Times New Roman" w:hAnsi="Times New Roman" w:cs="Times New Roman"/>
          <w:color w:val="231F20"/>
          <w:w w:val="120"/>
          <w:sz w:val="24"/>
          <w:szCs w:val="24"/>
        </w:rPr>
        <w:t xml:space="preserve">) yang menghitung ekuitas merek berdasarkan nilai merek menggunakan Model Hirose </w:t>
      </w:r>
      <w:r w:rsidRPr="006F2855">
        <w:rPr>
          <w:rFonts w:ascii="Times New Roman" w:hAnsi="Times New Roman" w:cs="Times New Roman"/>
          <w:sz w:val="24"/>
          <w:szCs w:val="24"/>
        </w:rPr>
        <w:t xml:space="preserve">(Hirose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2002)</w:t>
      </w:r>
      <w:r w:rsidRPr="006F2855">
        <w:rPr>
          <w:rFonts w:ascii="Times New Roman" w:hAnsi="Times New Roman" w:cs="Times New Roman"/>
          <w:color w:val="231F20"/>
          <w:w w:val="120"/>
          <w:sz w:val="24"/>
          <w:szCs w:val="24"/>
        </w:rPr>
        <w:t xml:space="preserve">. </w:t>
      </w:r>
      <w:r w:rsidRPr="006F2855">
        <w:rPr>
          <w:rFonts w:ascii="Times New Roman" w:hAnsi="Times New Roman" w:cs="Times New Roman"/>
          <w:sz w:val="24"/>
          <w:szCs w:val="24"/>
        </w:rPr>
        <w:t xml:space="preserve">Model 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xml:space="preserve"> (2002) ini mengasumsikan nilai merek sebagai fungsi dari tiga faktor utama, yaitu:</w:t>
      </w:r>
    </w:p>
    <w:p w:rsidR="00692678" w:rsidRPr="006F2855" w:rsidRDefault="00692678" w:rsidP="00692678">
      <w:pPr>
        <w:spacing w:after="0" w:line="240" w:lineRule="auto"/>
        <w:rPr>
          <w:rFonts w:ascii="Times New Roman" w:hAnsi="Times New Roman" w:cs="Times New Roman"/>
          <w:sz w:val="24"/>
          <w:szCs w:val="24"/>
        </w:rPr>
      </w:pPr>
    </w:p>
    <w:p w:rsidR="00692678" w:rsidRPr="006F2855" w:rsidRDefault="00692678" w:rsidP="00692678">
      <w:pPr>
        <w:spacing w:after="0" w:line="240" w:lineRule="auto"/>
        <w:rPr>
          <w:rFonts w:ascii="Times New Roman" w:hAnsi="Times New Roman" w:cs="Times New Roman"/>
          <w:sz w:val="24"/>
          <w:szCs w:val="24"/>
        </w:rPr>
      </w:pPr>
      <w:r w:rsidRPr="006F2855">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4099F4A7" wp14:editId="6D4B766B">
                <wp:simplePos x="0" y="0"/>
                <wp:positionH relativeFrom="column">
                  <wp:posOffset>913268</wp:posOffset>
                </wp:positionH>
                <wp:positionV relativeFrom="paragraph">
                  <wp:posOffset>-109331</wp:posOffset>
                </wp:positionV>
                <wp:extent cx="2975610" cy="482600"/>
                <wp:effectExtent l="0" t="0" r="15240" b="12700"/>
                <wp:wrapNone/>
                <wp:docPr id="4" name="Text Box 4"/>
                <wp:cNvGraphicFramePr/>
                <a:graphic xmlns:a="http://schemas.openxmlformats.org/drawingml/2006/main">
                  <a:graphicData uri="http://schemas.microsoft.com/office/word/2010/wordprocessingShape">
                    <wps:wsp>
                      <wps:cNvSpPr txBox="1"/>
                      <wps:spPr>
                        <a:xfrm>
                          <a:off x="0" y="0"/>
                          <a:ext cx="2975610" cy="48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E1C" w:rsidRPr="00F10EFE" w:rsidRDefault="00496E1C" w:rsidP="00692678">
                            <w:pPr>
                              <w:tabs>
                                <w:tab w:val="left" w:pos="1490"/>
                              </w:tabs>
                              <w:spacing w:after="0" w:line="480" w:lineRule="auto"/>
                              <w:ind w:left="360"/>
                              <w:jc w:val="center"/>
                              <w:rPr>
                                <w:rFonts w:ascii="Arial" w:hAnsi="Arial" w:cs="Arial"/>
                              </w:rPr>
                            </w:pPr>
                            <m:oMathPara>
                              <m:oMathParaPr>
                                <m:jc m:val="center"/>
                              </m:oMathParaPr>
                              <m:oMath>
                                <m:r>
                                  <w:rPr>
                                    <w:rFonts w:ascii="Cambria Math" w:hAnsi="Cambria Math" w:cs="Arial"/>
                                  </w:rPr>
                                  <m:t>BV=f</m:t>
                                </m:r>
                                <m:d>
                                  <m:dPr>
                                    <m:ctrlPr>
                                      <w:rPr>
                                        <w:rFonts w:ascii="Cambria Math" w:hAnsi="Cambria Math" w:cs="Arial"/>
                                        <w:i/>
                                      </w:rPr>
                                    </m:ctrlPr>
                                  </m:dPr>
                                  <m:e>
                                    <m:r>
                                      <w:rPr>
                                        <w:rFonts w:ascii="Cambria Math" w:hAnsi="Cambria Math" w:cs="Arial"/>
                                      </w:rPr>
                                      <m:t>PD,LD,ED,r</m:t>
                                    </m:r>
                                  </m:e>
                                </m:d>
                                <m:r>
                                  <w:rPr>
                                    <w:rFonts w:ascii="Cambria Math" w:hAnsi="Cambria Math" w:cs="Arial"/>
                                  </w:rPr>
                                  <m:t>=</m:t>
                                </m:r>
                                <m:f>
                                  <m:fPr>
                                    <m:ctrlPr>
                                      <w:rPr>
                                        <w:rFonts w:ascii="Cambria Math" w:hAnsi="Cambria Math" w:cs="Arial"/>
                                        <w:i/>
                                      </w:rPr>
                                    </m:ctrlPr>
                                  </m:fPr>
                                  <m:num>
                                    <m:r>
                                      <w:rPr>
                                        <w:rFonts w:ascii="Cambria Math" w:hAnsi="Cambria Math" w:cs="Arial"/>
                                      </w:rPr>
                                      <m:t>PD</m:t>
                                    </m:r>
                                  </m:num>
                                  <m:den>
                                    <m:r>
                                      <w:rPr>
                                        <w:rFonts w:ascii="Cambria Math" w:hAnsi="Cambria Math" w:cs="Arial"/>
                                      </w:rPr>
                                      <m:t>r</m:t>
                                    </m:r>
                                  </m:den>
                                </m:f>
                                <m:r>
                                  <w:rPr>
                                    <w:rFonts w:ascii="Cambria Math" w:hAnsi="Cambria Math" w:cs="Arial"/>
                                  </w:rPr>
                                  <m:t xml:space="preserve"> * LD * ED</m:t>
                                </m:r>
                              </m:oMath>
                            </m:oMathPara>
                          </w:p>
                          <w:p w:rsidR="00496E1C" w:rsidRDefault="00496E1C" w:rsidP="0069267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9pt;margin-top:-8.6pt;width:234.3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" fillcolor="white [3201]" strokeweight=".5pt">
                <v:textbox>
                  <w:txbxContent>
                    <w:p w:rsidR="00496E1C" w:rsidRPr="00F10EFE" w:rsidRDefault="00496E1C" w:rsidP="00692678">
                      <w:pPr>
                        <w:tabs>
                          <w:tab w:val="left" w:pos="1490"/>
                        </w:tabs>
                        <w:spacing w:after="0" w:line="480" w:lineRule="auto"/>
                        <w:ind w:left="360"/>
                        <w:jc w:val="center"/>
                        <w:rPr>
                          <w:rFonts w:ascii="Arial" w:hAnsi="Arial" w:cs="Arial"/>
                        </w:rPr>
                      </w:pPr>
                      <m:oMathPara>
                        <m:oMathParaPr>
                          <m:jc m:val="center"/>
                        </m:oMathParaPr>
                        <m:oMath>
                          <m:r>
                            <w:rPr>
                              <w:rFonts w:ascii="Cambria Math" w:hAnsi="Cambria Math" w:cs="Arial"/>
                            </w:rPr>
                            <m:t>BV=f</m:t>
                          </m:r>
                          <m:d>
                            <m:dPr>
                              <m:ctrlPr>
                                <w:rPr>
                                  <w:rFonts w:ascii="Cambria Math" w:hAnsi="Cambria Math" w:cs="Arial"/>
                                  <w:i/>
                                </w:rPr>
                              </m:ctrlPr>
                            </m:dPr>
                            <m:e>
                              <m:r>
                                <w:rPr>
                                  <w:rFonts w:ascii="Cambria Math" w:hAnsi="Cambria Math" w:cs="Arial"/>
                                </w:rPr>
                                <m:t>PD,LD,ED,r</m:t>
                              </m:r>
                            </m:e>
                          </m:d>
                          <m:r>
                            <w:rPr>
                              <w:rFonts w:ascii="Cambria Math" w:hAnsi="Cambria Math" w:cs="Arial"/>
                            </w:rPr>
                            <m:t>=</m:t>
                          </m:r>
                          <m:f>
                            <m:fPr>
                              <m:ctrlPr>
                                <w:rPr>
                                  <w:rFonts w:ascii="Cambria Math" w:hAnsi="Cambria Math" w:cs="Arial"/>
                                  <w:i/>
                                </w:rPr>
                              </m:ctrlPr>
                            </m:fPr>
                            <m:num>
                              <m:r>
                                <w:rPr>
                                  <w:rFonts w:ascii="Cambria Math" w:hAnsi="Cambria Math" w:cs="Arial"/>
                                </w:rPr>
                                <m:t>PD</m:t>
                              </m:r>
                            </m:num>
                            <m:den>
                              <m:r>
                                <w:rPr>
                                  <w:rFonts w:ascii="Cambria Math" w:hAnsi="Cambria Math" w:cs="Arial"/>
                                </w:rPr>
                                <m:t>r</m:t>
                              </m:r>
                            </m:den>
                          </m:f>
                          <m:r>
                            <w:rPr>
                              <w:rFonts w:ascii="Cambria Math" w:hAnsi="Cambria Math" w:cs="Arial"/>
                            </w:rPr>
                            <m:t xml:space="preserve"> * LD * ED</m:t>
                          </m:r>
                        </m:oMath>
                      </m:oMathPara>
                    </w:p>
                    <w:p w:rsidR="00496E1C" w:rsidRDefault="00496E1C" w:rsidP="00692678">
                      <w:pPr>
                        <w:jc w:val="center"/>
                      </w:pPr>
                    </w:p>
                  </w:txbxContent>
                </v:textbox>
              </v:shape>
            </w:pict>
          </mc:Fallback>
        </mc:AlternateContent>
      </w:r>
    </w:p>
    <w:p w:rsidR="00692678" w:rsidRPr="006F2855" w:rsidRDefault="00692678" w:rsidP="00692678">
      <w:pPr>
        <w:spacing w:after="0" w:line="240" w:lineRule="auto"/>
        <w:rPr>
          <w:rFonts w:ascii="Times New Roman" w:hAnsi="Times New Roman" w:cs="Times New Roman"/>
          <w:sz w:val="24"/>
          <w:szCs w:val="24"/>
        </w:rPr>
      </w:pPr>
    </w:p>
    <w:p w:rsidR="00692678" w:rsidRPr="006F2855" w:rsidRDefault="00692678" w:rsidP="00692678">
      <w:pPr>
        <w:spacing w:after="0" w:line="240" w:lineRule="auto"/>
        <w:rPr>
          <w:rFonts w:ascii="Times New Roman" w:hAnsi="Times New Roman" w:cs="Times New Roman"/>
          <w:sz w:val="24"/>
          <w:szCs w:val="24"/>
        </w:rPr>
      </w:pPr>
    </w:p>
    <w:p w:rsidR="00692678" w:rsidRPr="006F2855" w:rsidRDefault="00692678" w:rsidP="00692678">
      <w:pPr>
        <w:spacing w:after="0" w:line="240" w:lineRule="auto"/>
        <w:rPr>
          <w:rFonts w:ascii="Times New Roman" w:hAnsi="Times New Roman" w:cs="Times New Roman"/>
          <w:sz w:val="24"/>
          <w:szCs w:val="24"/>
        </w:rPr>
      </w:pPr>
      <w:r w:rsidRPr="006F2855">
        <w:rPr>
          <w:rFonts w:ascii="Times New Roman" w:hAnsi="Times New Roman" w:cs="Times New Roman"/>
          <w:sz w:val="24"/>
          <w:szCs w:val="24"/>
        </w:rPr>
        <w:tab/>
      </w:r>
      <w:r w:rsidRPr="006F2855">
        <w:rPr>
          <w:rFonts w:ascii="Times New Roman" w:hAnsi="Times New Roman" w:cs="Times New Roman"/>
          <w:sz w:val="24"/>
          <w:szCs w:val="24"/>
        </w:rPr>
        <w:tab/>
        <w:t xml:space="preserve">        Sumber: 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xml:space="preserve"> (2002)</w:t>
      </w:r>
    </w:p>
    <w:p w:rsidR="00692678" w:rsidRPr="006F2855" w:rsidRDefault="00692678" w:rsidP="00692678">
      <w:pPr>
        <w:spacing w:after="0" w:line="240" w:lineRule="auto"/>
        <w:rPr>
          <w:rFonts w:ascii="Times New Roman" w:hAnsi="Times New Roman" w:cs="Times New Roman"/>
          <w:sz w:val="24"/>
          <w:szCs w:val="24"/>
        </w:rPr>
      </w:pPr>
      <w:r w:rsidRPr="006F2855">
        <w:rPr>
          <w:rFonts w:ascii="Times New Roman" w:hAnsi="Times New Roman" w:cs="Times New Roman"/>
          <w:sz w:val="24"/>
          <w:szCs w:val="24"/>
        </w:rPr>
        <w:t>Di mana:</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 xml:space="preserve">BV = </w:t>
      </w:r>
      <w:r w:rsidRPr="006F2855">
        <w:rPr>
          <w:rFonts w:ascii="Times New Roman" w:hAnsi="Times New Roman" w:cs="Times New Roman"/>
          <w:i/>
          <w:iCs/>
          <w:sz w:val="24"/>
          <w:szCs w:val="24"/>
        </w:rPr>
        <w:t>Brand Value;</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 xml:space="preserve">PD = </w:t>
      </w:r>
      <w:r w:rsidRPr="006F2855">
        <w:rPr>
          <w:rFonts w:ascii="Times New Roman" w:hAnsi="Times New Roman" w:cs="Times New Roman"/>
          <w:i/>
          <w:iCs/>
          <w:sz w:val="24"/>
          <w:szCs w:val="24"/>
        </w:rPr>
        <w:t>prestige driver;</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 xml:space="preserve">LD = </w:t>
      </w:r>
      <w:r w:rsidRPr="006F2855">
        <w:rPr>
          <w:rFonts w:ascii="Times New Roman" w:hAnsi="Times New Roman" w:cs="Times New Roman"/>
          <w:i/>
          <w:iCs/>
          <w:sz w:val="24"/>
          <w:szCs w:val="24"/>
        </w:rPr>
        <w:t>loyality drive;</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 xml:space="preserve">ED = </w:t>
      </w:r>
      <w:r w:rsidRPr="006F2855">
        <w:rPr>
          <w:rFonts w:ascii="Times New Roman" w:hAnsi="Times New Roman" w:cs="Times New Roman"/>
          <w:i/>
          <w:iCs/>
          <w:sz w:val="24"/>
          <w:szCs w:val="24"/>
        </w:rPr>
        <w:t>extension driver;</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 xml:space="preserve">r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 xml:space="preserve">risk-free interest </w:t>
      </w:r>
      <w:r w:rsidRPr="006F2855">
        <w:rPr>
          <w:rFonts w:ascii="Times New Roman" w:hAnsi="Times New Roman" w:cs="Times New Roman"/>
          <w:sz w:val="24"/>
          <w:szCs w:val="24"/>
        </w:rPr>
        <w:t>(</w:t>
      </w:r>
      <w:r w:rsidRPr="006F2855">
        <w:rPr>
          <w:rFonts w:ascii="Times New Roman" w:hAnsi="Times New Roman" w:cs="Times New Roman"/>
          <w:i/>
          <w:iCs/>
          <w:sz w:val="24"/>
          <w:szCs w:val="24"/>
        </w:rPr>
        <w:t>discount</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rate</w:t>
      </w:r>
    </w:p>
    <w:p w:rsidR="00692678" w:rsidRPr="006F2855" w:rsidRDefault="00692678" w:rsidP="00692678">
      <w:pPr>
        <w:spacing w:after="0" w:line="240" w:lineRule="auto"/>
        <w:rPr>
          <w:rFonts w:ascii="Times New Roman" w:hAnsi="Times New Roman" w:cs="Times New Roman"/>
          <w:sz w:val="24"/>
          <w:szCs w:val="24"/>
        </w:rPr>
      </w:pPr>
    </w:p>
    <w:p w:rsidR="00692678" w:rsidRPr="006F2855" w:rsidRDefault="00692678" w:rsidP="00692678">
      <w:pPr>
        <w:tabs>
          <w:tab w:val="left" w:pos="709"/>
        </w:tabs>
        <w:spacing w:after="0" w:line="240" w:lineRule="auto"/>
        <w:jc w:val="both"/>
        <w:rPr>
          <w:rFonts w:ascii="Times New Roman" w:hAnsi="Times New Roman" w:cs="Times New Roman"/>
          <w:sz w:val="24"/>
          <w:szCs w:val="24"/>
        </w:rPr>
      </w:pPr>
      <w:r w:rsidRPr="006F2855">
        <w:rPr>
          <w:rFonts w:ascii="Times New Roman" w:hAnsi="Times New Roman" w:cs="Times New Roman"/>
          <w:sz w:val="24"/>
          <w:szCs w:val="24"/>
        </w:rPr>
        <w:tab/>
        <w:t>PD adalah arus kas yang timbul dari keuntungan harga atau nilai lebih dari merek. Penghitungan PD secara lebih detail diukur dengan menggunakan rumus berikut ini:</w:t>
      </w:r>
    </w:p>
    <w:p w:rsidR="00692678" w:rsidRPr="006F2855" w:rsidRDefault="00692678" w:rsidP="00692678">
      <w:pPr>
        <w:tabs>
          <w:tab w:val="left" w:pos="709"/>
        </w:tabs>
        <w:spacing w:after="0" w:line="240" w:lineRule="auto"/>
        <w:jc w:val="both"/>
        <w:rPr>
          <w:rFonts w:ascii="Times New Roman" w:hAnsi="Times New Roman" w:cs="Times New Roman"/>
          <w:sz w:val="24"/>
          <w:szCs w:val="24"/>
        </w:rPr>
      </w:pPr>
      <w:r w:rsidRPr="006F2855">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030AD937" wp14:editId="523BCDA6">
                <wp:simplePos x="0" y="0"/>
                <wp:positionH relativeFrom="column">
                  <wp:posOffset>1034415</wp:posOffset>
                </wp:positionH>
                <wp:positionV relativeFrom="paragraph">
                  <wp:posOffset>22225</wp:posOffset>
                </wp:positionV>
                <wp:extent cx="2613660" cy="655320"/>
                <wp:effectExtent l="0" t="0" r="15240" b="11430"/>
                <wp:wrapNone/>
                <wp:docPr id="5" name="Text Box 5"/>
                <wp:cNvGraphicFramePr/>
                <a:graphic xmlns:a="http://schemas.openxmlformats.org/drawingml/2006/main">
                  <a:graphicData uri="http://schemas.microsoft.com/office/word/2010/wordprocessingShape">
                    <wps:wsp>
                      <wps:cNvSpPr txBox="1"/>
                      <wps:spPr>
                        <a:xfrm>
                          <a:off x="0" y="0"/>
                          <a:ext cx="2613660"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E1C" w:rsidRDefault="00496E1C" w:rsidP="00692678">
                            <m:oMathPara>
                              <m:oMath>
                                <m:r>
                                  <w:rPr>
                                    <w:rFonts w:ascii="Cambria Math" w:hAnsi="Cambria Math" w:cs="Arial"/>
                                  </w:rPr>
                                  <m:t>PD=</m:t>
                                </m:r>
                                <m:f>
                                  <m:fPr>
                                    <m:ctrlPr>
                                      <w:rPr>
                                        <w:rFonts w:ascii="Cambria Math" w:hAnsi="Cambria Math" w:cs="Arial"/>
                                        <w:i/>
                                      </w:rPr>
                                    </m:ctrlPr>
                                  </m:fPr>
                                  <m:num>
                                    <m:r>
                                      <w:rPr>
                                        <w:rFonts w:ascii="Cambria Math" w:hAnsi="Cambria Math" w:cs="Arial"/>
                                      </w:rPr>
                                      <m:t>1</m:t>
                                    </m:r>
                                  </m:num>
                                  <m:den>
                                    <m:r>
                                      <w:rPr>
                                        <w:rFonts w:ascii="Cambria Math" w:hAnsi="Cambria Math" w:cs="Arial"/>
                                      </w:rPr>
                                      <m:t>5</m:t>
                                    </m:r>
                                  </m:den>
                                </m:f>
                                <m:nary>
                                  <m:naryPr>
                                    <m:chr m:val="∑"/>
                                    <m:limLoc m:val="undOvr"/>
                                    <m:ctrlPr>
                                      <w:rPr>
                                        <w:rFonts w:ascii="Cambria Math" w:hAnsi="Cambria Math" w:cs="Arial"/>
                                        <w:i/>
                                      </w:rPr>
                                    </m:ctrlPr>
                                  </m:naryPr>
                                  <m:sub>
                                    <m:r>
                                      <w:rPr>
                                        <w:rFonts w:ascii="Cambria Math" w:hAnsi="Cambria Math" w:cs="Arial"/>
                                      </w:rPr>
                                      <m:t>i=-4</m:t>
                                    </m:r>
                                  </m:sub>
                                  <m:sup>
                                    <m:r>
                                      <w:rPr>
                                        <w:rFonts w:ascii="Cambria Math" w:hAnsi="Cambria Math" w:cs="Arial"/>
                                      </w:rPr>
                                      <m:t>0</m:t>
                                    </m:r>
                                  </m:sup>
                                  <m:e>
                                    <m:d>
                                      <m:dPr>
                                        <m:begChr m:val="{"/>
                                        <m:endChr m:val="}"/>
                                        <m:ctrlPr>
                                          <w:rPr>
                                            <w:rFonts w:ascii="Cambria Math" w:hAnsi="Cambria Math" w:cs="Arial"/>
                                            <w:i/>
                                          </w:rPr>
                                        </m:ctrlPr>
                                      </m:dPr>
                                      <m:e>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S</m:t>
                                                </m:r>
                                                <m:box>
                                                  <m:boxPr>
                                                    <m:ctrlPr>
                                                      <w:rPr>
                                                        <w:rFonts w:ascii="Cambria Math" w:hAnsi="Cambria Math" w:cs="Arial"/>
                                                        <w:i/>
                                                      </w:rPr>
                                                    </m:ctrlPr>
                                                  </m:boxPr>
                                                  <m:e>
                                                    <m:argPr>
                                                      <m:argSz m:val="-1"/>
                                                    </m:argPr>
                                                    <m:r>
                                                      <w:rPr>
                                                        <w:rFonts w:ascii="Cambria Math" w:hAnsi="Cambria Math" w:cs="Arial"/>
                                                      </w:rPr>
                                                      <m:t>i</m:t>
                                                    </m:r>
                                                  </m:e>
                                                </m:box>
                                              </m:num>
                                              <m:den>
                                                <m:r>
                                                  <w:rPr>
                                                    <w:rFonts w:ascii="Cambria Math" w:hAnsi="Cambria Math" w:cs="Arial"/>
                                                  </w:rPr>
                                                  <m:t>C</m:t>
                                                </m:r>
                                                <m:box>
                                                  <m:boxPr>
                                                    <m:ctrlPr>
                                                      <w:rPr>
                                                        <w:rFonts w:ascii="Cambria Math" w:hAnsi="Cambria Math" w:cs="Arial"/>
                                                        <w:i/>
                                                      </w:rPr>
                                                    </m:ctrlPr>
                                                  </m:boxPr>
                                                  <m:e>
                                                    <m:argPr>
                                                      <m:argSz m:val="-1"/>
                                                    </m:argPr>
                                                    <m:r>
                                                      <w:rPr>
                                                        <w:rFonts w:ascii="Cambria Math" w:hAnsi="Cambria Math" w:cs="Arial"/>
                                                      </w:rPr>
                                                      <m:t>i</m:t>
                                                    </m:r>
                                                  </m:e>
                                                </m:box>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i</m:t>
                                                </m:r>
                                              </m:num>
                                              <m:den>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r>
                                                  <w:rPr>
                                                    <w:rFonts w:ascii="Cambria Math" w:hAnsi="Cambria Math" w:cs="Arial"/>
                                                  </w:rPr>
                                                  <m:t>i</m:t>
                                                </m:r>
                                              </m:den>
                                            </m:f>
                                          </m:e>
                                        </m:d>
                                        <m:r>
                                          <w:rPr>
                                            <w:rFonts w:ascii="Cambria Math" w:hAnsi="Cambria Math" w:cs="Arial"/>
                                          </w:rPr>
                                          <m:t>*</m:t>
                                        </m:r>
                                        <m:f>
                                          <m:fPr>
                                            <m:ctrlPr>
                                              <w:rPr>
                                                <w:rFonts w:ascii="Cambria Math" w:hAnsi="Cambria Math" w:cs="Arial"/>
                                                <w:i/>
                                              </w:rPr>
                                            </m:ctrlPr>
                                          </m:fPr>
                                          <m:num>
                                            <m:r>
                                              <w:rPr>
                                                <w:rFonts w:ascii="Cambria Math" w:hAnsi="Cambria Math" w:cs="Arial"/>
                                              </w:rPr>
                                              <m:t>AD</m:t>
                                            </m:r>
                                            <m:box>
                                              <m:boxPr>
                                                <m:ctrlPr>
                                                  <w:rPr>
                                                    <w:rFonts w:ascii="Cambria Math" w:hAnsi="Cambria Math" w:cs="Arial"/>
                                                    <w:i/>
                                                  </w:rPr>
                                                </m:ctrlPr>
                                              </m:boxPr>
                                              <m:e>
                                                <m:argPr>
                                                  <m:argSz m:val="-1"/>
                                                </m:argPr>
                                                <m:r>
                                                  <w:rPr>
                                                    <w:rFonts w:ascii="Cambria Math" w:hAnsi="Cambria Math" w:cs="Arial"/>
                                                  </w:rPr>
                                                  <m:t>i</m:t>
                                                </m:r>
                                              </m:e>
                                            </m:box>
                                          </m:num>
                                          <m:den>
                                            <m:r>
                                              <w:rPr>
                                                <w:rFonts w:ascii="Cambria Math" w:hAnsi="Cambria Math" w:cs="Arial"/>
                                              </w:rPr>
                                              <m:t>O</m:t>
                                            </m:r>
                                            <m:box>
                                              <m:boxPr>
                                                <m:ctrlPr>
                                                  <w:rPr>
                                                    <w:rFonts w:ascii="Cambria Math" w:hAnsi="Cambria Math" w:cs="Arial"/>
                                                    <w:i/>
                                                  </w:rPr>
                                                </m:ctrlPr>
                                              </m:boxPr>
                                              <m:e>
                                                <m:argPr>
                                                  <m:argSz m:val="-1"/>
                                                </m:argPr>
                                                <m:r>
                                                  <w:rPr>
                                                    <w:rFonts w:ascii="Cambria Math" w:hAnsi="Cambria Math" w:cs="Arial"/>
                                                  </w:rPr>
                                                  <m:t>i</m:t>
                                                </m:r>
                                              </m:e>
                                            </m:box>
                                          </m:den>
                                        </m:f>
                                      </m:e>
                                    </m:d>
                                  </m:e>
                                </m:nary>
                                <m:r>
                                  <w:rPr>
                                    <w:rFonts w:ascii="Cambria Math" w:hAnsi="Cambria Math" w:cs="Arial"/>
                                  </w:rPr>
                                  <m:t>*C</m:t>
                                </m:r>
                                <m:box>
                                  <m:boxPr>
                                    <m:ctrlPr>
                                      <w:rPr>
                                        <w:rFonts w:ascii="Cambria Math" w:hAnsi="Cambria Math" w:cs="Arial"/>
                                        <w:i/>
                                      </w:rPr>
                                    </m:ctrlPr>
                                  </m:boxPr>
                                  <m:e>
                                    <m:argPr>
                                      <m:argSz m:val="-1"/>
                                    </m:argPr>
                                    <m:r>
                                      <w:rPr>
                                        <w:rFonts w:ascii="Cambria Math" w:hAnsi="Cambria Math" w:cs="Arial"/>
                                      </w:rPr>
                                      <m:t>0</m:t>
                                    </m:r>
                                  </m:e>
                                </m:box>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81.45pt;margin-top:1.75pt;width:205.8pt;height:51.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" fillcolor="white [3201]" strokeweight=".5pt">
                <v:textbox>
                  <w:txbxContent>
                    <w:p w:rsidR="00496E1C" w:rsidRDefault="00496E1C" w:rsidP="00692678">
                      <m:oMathPara>
                        <m:oMath>
                          <m:r>
                            <w:rPr>
                              <w:rFonts w:ascii="Cambria Math" w:hAnsi="Cambria Math" w:cs="Arial"/>
                            </w:rPr>
                            <m:t>PD=</m:t>
                          </m:r>
                          <m:f>
                            <m:fPr>
                              <m:ctrlPr>
                                <w:rPr>
                                  <w:rFonts w:ascii="Cambria Math" w:hAnsi="Cambria Math" w:cs="Arial"/>
                                  <w:i/>
                                </w:rPr>
                              </m:ctrlPr>
                            </m:fPr>
                            <m:num>
                              <m:r>
                                <w:rPr>
                                  <w:rFonts w:ascii="Cambria Math" w:hAnsi="Cambria Math" w:cs="Arial"/>
                                </w:rPr>
                                <m:t>1</m:t>
                              </m:r>
                            </m:num>
                            <m:den>
                              <m:r>
                                <w:rPr>
                                  <w:rFonts w:ascii="Cambria Math" w:hAnsi="Cambria Math" w:cs="Arial"/>
                                </w:rPr>
                                <m:t>5</m:t>
                              </m:r>
                            </m:den>
                          </m:f>
                          <m:nary>
                            <m:naryPr>
                              <m:chr m:val="∑"/>
                              <m:limLoc m:val="undOvr"/>
                              <m:ctrlPr>
                                <w:rPr>
                                  <w:rFonts w:ascii="Cambria Math" w:hAnsi="Cambria Math" w:cs="Arial"/>
                                  <w:i/>
                                </w:rPr>
                              </m:ctrlPr>
                            </m:naryPr>
                            <m:sub>
                              <m:r>
                                <w:rPr>
                                  <w:rFonts w:ascii="Cambria Math" w:hAnsi="Cambria Math" w:cs="Arial"/>
                                </w:rPr>
                                <m:t>i=-4</m:t>
                              </m:r>
                            </m:sub>
                            <m:sup>
                              <m:r>
                                <w:rPr>
                                  <w:rFonts w:ascii="Cambria Math" w:hAnsi="Cambria Math" w:cs="Arial"/>
                                </w:rPr>
                                <m:t>0</m:t>
                              </m:r>
                            </m:sup>
                            <m:e>
                              <m:d>
                                <m:dPr>
                                  <m:begChr m:val="{"/>
                                  <m:endChr m:val="}"/>
                                  <m:ctrlPr>
                                    <w:rPr>
                                      <w:rFonts w:ascii="Cambria Math" w:hAnsi="Cambria Math" w:cs="Arial"/>
                                      <w:i/>
                                    </w:rPr>
                                  </m:ctrlPr>
                                </m:dPr>
                                <m:e>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S</m:t>
                                          </m:r>
                                          <m:box>
                                            <m:boxPr>
                                              <m:ctrlPr>
                                                <w:rPr>
                                                  <w:rFonts w:ascii="Cambria Math" w:hAnsi="Cambria Math" w:cs="Arial"/>
                                                  <w:i/>
                                                </w:rPr>
                                              </m:ctrlPr>
                                            </m:boxPr>
                                            <m:e>
                                              <m:argPr>
                                                <m:argSz m:val="-1"/>
                                              </m:argPr>
                                              <m:r>
                                                <w:rPr>
                                                  <w:rFonts w:ascii="Cambria Math" w:hAnsi="Cambria Math" w:cs="Arial"/>
                                                </w:rPr>
                                                <m:t>i</m:t>
                                              </m:r>
                                            </m:e>
                                          </m:box>
                                        </m:num>
                                        <m:den>
                                          <m:r>
                                            <w:rPr>
                                              <w:rFonts w:ascii="Cambria Math" w:hAnsi="Cambria Math" w:cs="Arial"/>
                                            </w:rPr>
                                            <m:t>C</m:t>
                                          </m:r>
                                          <m:box>
                                            <m:boxPr>
                                              <m:ctrlPr>
                                                <w:rPr>
                                                  <w:rFonts w:ascii="Cambria Math" w:hAnsi="Cambria Math" w:cs="Arial"/>
                                                  <w:i/>
                                                </w:rPr>
                                              </m:ctrlPr>
                                            </m:boxPr>
                                            <m:e>
                                              <m:argPr>
                                                <m:argSz m:val="-1"/>
                                              </m:argPr>
                                              <m:r>
                                                <w:rPr>
                                                  <w:rFonts w:ascii="Cambria Math" w:hAnsi="Cambria Math" w:cs="Arial"/>
                                                </w:rPr>
                                                <m:t>i</m:t>
                                              </m:r>
                                            </m:e>
                                          </m:box>
                                        </m:den>
                                      </m:f>
                                      <m:r>
                                        <w:rPr>
                                          <w:rFonts w:ascii="Cambria Math" w:hAnsi="Cambria Math" w:cs="Arial"/>
                                        </w:rPr>
                                        <m:t>-</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S</m:t>
                                              </m:r>
                                            </m:e>
                                            <m:sup>
                                              <m:r>
                                                <w:rPr>
                                                  <w:rFonts w:ascii="Cambria Math" w:hAnsi="Cambria Math" w:cs="Arial"/>
                                                </w:rPr>
                                                <m:t>*</m:t>
                                              </m:r>
                                            </m:sup>
                                          </m:sSup>
                                          <m:r>
                                            <w:rPr>
                                              <w:rFonts w:ascii="Cambria Math" w:hAnsi="Cambria Math" w:cs="Arial"/>
                                            </w:rPr>
                                            <m:t>i</m:t>
                                          </m:r>
                                        </m:num>
                                        <m:den>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r>
                                            <w:rPr>
                                              <w:rFonts w:ascii="Cambria Math" w:hAnsi="Cambria Math" w:cs="Arial"/>
                                            </w:rPr>
                                            <m:t>i</m:t>
                                          </m:r>
                                        </m:den>
                                      </m:f>
                                    </m:e>
                                  </m:d>
                                  <m:r>
                                    <w:rPr>
                                      <w:rFonts w:ascii="Cambria Math" w:hAnsi="Cambria Math" w:cs="Arial"/>
                                    </w:rPr>
                                    <m:t>*</m:t>
                                  </m:r>
                                  <m:f>
                                    <m:fPr>
                                      <m:ctrlPr>
                                        <w:rPr>
                                          <w:rFonts w:ascii="Cambria Math" w:hAnsi="Cambria Math" w:cs="Arial"/>
                                          <w:i/>
                                        </w:rPr>
                                      </m:ctrlPr>
                                    </m:fPr>
                                    <m:num>
                                      <m:r>
                                        <w:rPr>
                                          <w:rFonts w:ascii="Cambria Math" w:hAnsi="Cambria Math" w:cs="Arial"/>
                                        </w:rPr>
                                        <m:t>AD</m:t>
                                      </m:r>
                                      <m:box>
                                        <m:boxPr>
                                          <m:ctrlPr>
                                            <w:rPr>
                                              <w:rFonts w:ascii="Cambria Math" w:hAnsi="Cambria Math" w:cs="Arial"/>
                                              <w:i/>
                                            </w:rPr>
                                          </m:ctrlPr>
                                        </m:boxPr>
                                        <m:e>
                                          <m:argPr>
                                            <m:argSz m:val="-1"/>
                                          </m:argPr>
                                          <m:r>
                                            <w:rPr>
                                              <w:rFonts w:ascii="Cambria Math" w:hAnsi="Cambria Math" w:cs="Arial"/>
                                            </w:rPr>
                                            <m:t>i</m:t>
                                          </m:r>
                                        </m:e>
                                      </m:box>
                                    </m:num>
                                    <m:den>
                                      <m:r>
                                        <w:rPr>
                                          <w:rFonts w:ascii="Cambria Math" w:hAnsi="Cambria Math" w:cs="Arial"/>
                                        </w:rPr>
                                        <m:t>O</m:t>
                                      </m:r>
                                      <m:box>
                                        <m:boxPr>
                                          <m:ctrlPr>
                                            <w:rPr>
                                              <w:rFonts w:ascii="Cambria Math" w:hAnsi="Cambria Math" w:cs="Arial"/>
                                              <w:i/>
                                            </w:rPr>
                                          </m:ctrlPr>
                                        </m:boxPr>
                                        <m:e>
                                          <m:argPr>
                                            <m:argSz m:val="-1"/>
                                          </m:argPr>
                                          <m:r>
                                            <w:rPr>
                                              <w:rFonts w:ascii="Cambria Math" w:hAnsi="Cambria Math" w:cs="Arial"/>
                                            </w:rPr>
                                            <m:t>i</m:t>
                                          </m:r>
                                        </m:e>
                                      </m:box>
                                    </m:den>
                                  </m:f>
                                </m:e>
                              </m:d>
                            </m:e>
                          </m:nary>
                          <m:r>
                            <w:rPr>
                              <w:rFonts w:ascii="Cambria Math" w:hAnsi="Cambria Math" w:cs="Arial"/>
                            </w:rPr>
                            <m:t>*C</m:t>
                          </m:r>
                          <m:box>
                            <m:boxPr>
                              <m:ctrlPr>
                                <w:rPr>
                                  <w:rFonts w:ascii="Cambria Math" w:hAnsi="Cambria Math" w:cs="Arial"/>
                                  <w:i/>
                                </w:rPr>
                              </m:ctrlPr>
                            </m:boxPr>
                            <m:e>
                              <m:argPr>
                                <m:argSz m:val="-1"/>
                              </m:argPr>
                              <m:r>
                                <w:rPr>
                                  <w:rFonts w:ascii="Cambria Math" w:hAnsi="Cambria Math" w:cs="Arial"/>
                                </w:rPr>
                                <m:t>0</m:t>
                              </m:r>
                            </m:e>
                          </m:box>
                        </m:oMath>
                      </m:oMathPara>
                    </w:p>
                  </w:txbxContent>
                </v:textbox>
              </v:shape>
            </w:pict>
          </mc:Fallback>
        </mc:AlternateContent>
      </w:r>
    </w:p>
    <w:p w:rsidR="00692678" w:rsidRDefault="00692678" w:rsidP="00692678">
      <w:pPr>
        <w:spacing w:after="0" w:line="240" w:lineRule="auto"/>
        <w:rPr>
          <w:rFonts w:ascii="Times New Roman" w:hAnsi="Times New Roman" w:cs="Times New Roman"/>
          <w:sz w:val="24"/>
          <w:szCs w:val="24"/>
        </w:rPr>
      </w:pPr>
    </w:p>
    <w:p w:rsidR="00692678" w:rsidRDefault="00692678" w:rsidP="00692678">
      <w:pPr>
        <w:spacing w:after="0" w:line="240" w:lineRule="auto"/>
        <w:rPr>
          <w:rFonts w:ascii="Times New Roman" w:hAnsi="Times New Roman" w:cs="Times New Roman"/>
          <w:sz w:val="24"/>
          <w:szCs w:val="24"/>
        </w:rPr>
      </w:pPr>
    </w:p>
    <w:p w:rsidR="00692678" w:rsidRPr="006F2855" w:rsidRDefault="00692678" w:rsidP="00692678">
      <w:pPr>
        <w:spacing w:after="0" w:line="240" w:lineRule="auto"/>
        <w:rPr>
          <w:rFonts w:ascii="Times New Roman" w:hAnsi="Times New Roman" w:cs="Times New Roman"/>
          <w:sz w:val="24"/>
          <w:szCs w:val="24"/>
        </w:rPr>
      </w:pPr>
    </w:p>
    <w:p w:rsidR="00692678" w:rsidRPr="006F2855" w:rsidRDefault="00692678" w:rsidP="00692678">
      <w:pPr>
        <w:spacing w:after="0" w:line="240" w:lineRule="auto"/>
        <w:ind w:left="1440" w:firstLine="720"/>
        <w:rPr>
          <w:rFonts w:ascii="Times New Roman" w:hAnsi="Times New Roman" w:cs="Times New Roman"/>
          <w:sz w:val="24"/>
          <w:szCs w:val="24"/>
        </w:rPr>
      </w:pPr>
      <w:r w:rsidRPr="006F2855">
        <w:rPr>
          <w:rFonts w:ascii="Times New Roman" w:hAnsi="Times New Roman" w:cs="Times New Roman"/>
          <w:sz w:val="24"/>
          <w:szCs w:val="24"/>
        </w:rPr>
        <w:t xml:space="preserve">Sumber: 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xml:space="preserve"> (2002)</w:t>
      </w:r>
    </w:p>
    <w:p w:rsidR="00692678" w:rsidRPr="006F2855" w:rsidRDefault="00692678" w:rsidP="00692678">
      <w:pPr>
        <w:spacing w:after="0" w:line="240" w:lineRule="auto"/>
        <w:rPr>
          <w:rFonts w:ascii="Times New Roman" w:hAnsi="Times New Roman" w:cs="Times New Roman"/>
          <w:sz w:val="24"/>
          <w:szCs w:val="24"/>
        </w:rPr>
      </w:pPr>
      <w:r w:rsidRPr="006F2855">
        <w:rPr>
          <w:rFonts w:ascii="Times New Roman" w:hAnsi="Times New Roman" w:cs="Times New Roman"/>
          <w:sz w:val="24"/>
          <w:szCs w:val="24"/>
        </w:rPr>
        <w:t>Di mana:</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 xml:space="preserve">PD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prestige driver;</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S</w:t>
      </w:r>
      <w:r w:rsidRPr="006F2855">
        <w:rPr>
          <w:rFonts w:ascii="Times New Roman" w:hAnsi="Times New Roman" w:cs="Times New Roman"/>
          <w:i/>
          <w:iCs/>
          <w:sz w:val="24"/>
          <w:szCs w:val="24"/>
          <w:vertAlign w:val="subscript"/>
        </w:rPr>
        <w:t>i</w:t>
      </w:r>
      <w:r w:rsidRPr="006F2855">
        <w:rPr>
          <w:rFonts w:ascii="Times New Roman" w:hAnsi="Times New Roman" w:cs="Times New Roman"/>
          <w:i/>
          <w:iCs/>
          <w:sz w:val="24"/>
          <w:szCs w:val="24"/>
        </w:rPr>
        <w:t xml:space="preserve">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sales of firms;</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C</w:t>
      </w:r>
      <w:r w:rsidRPr="006F2855">
        <w:rPr>
          <w:rFonts w:ascii="Times New Roman" w:hAnsi="Times New Roman" w:cs="Times New Roman"/>
          <w:i/>
          <w:iCs/>
          <w:sz w:val="24"/>
          <w:szCs w:val="24"/>
          <w:vertAlign w:val="subscript"/>
        </w:rPr>
        <w:t>i</w:t>
      </w:r>
      <w:r w:rsidRPr="006F2855">
        <w:rPr>
          <w:rFonts w:ascii="Times New Roman" w:hAnsi="Times New Roman" w:cs="Times New Roman"/>
          <w:i/>
          <w:iCs/>
          <w:sz w:val="24"/>
          <w:szCs w:val="24"/>
        </w:rPr>
        <w:t xml:space="preserve">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cost of sales of firms;</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S</w:t>
      </w:r>
      <w:r w:rsidRPr="006F2855">
        <w:rPr>
          <w:rFonts w:ascii="Times New Roman" w:hAnsi="Times New Roman" w:cs="Times New Roman"/>
          <w:i/>
          <w:iCs/>
          <w:sz w:val="24"/>
          <w:szCs w:val="24"/>
          <w:vertAlign w:val="superscript"/>
        </w:rPr>
        <w:t>*</w:t>
      </w:r>
      <w:r w:rsidRPr="006F2855">
        <w:rPr>
          <w:rFonts w:ascii="Times New Roman" w:hAnsi="Times New Roman" w:cs="Times New Roman"/>
          <w:i/>
          <w:iCs/>
          <w:sz w:val="24"/>
          <w:szCs w:val="24"/>
          <w:vertAlign w:val="subscript"/>
        </w:rPr>
        <w:t>i</w:t>
      </w:r>
      <w:r w:rsidRPr="006F2855">
        <w:rPr>
          <w:rFonts w:ascii="Times New Roman" w:hAnsi="Times New Roman" w:cs="Times New Roman"/>
          <w:sz w:val="24"/>
          <w:szCs w:val="24"/>
        </w:rPr>
        <w:t xml:space="preserve"> = </w:t>
      </w:r>
      <w:r w:rsidRPr="006F2855">
        <w:rPr>
          <w:rFonts w:ascii="Times New Roman" w:hAnsi="Times New Roman" w:cs="Times New Roman"/>
          <w:i/>
          <w:iCs/>
          <w:sz w:val="24"/>
          <w:szCs w:val="24"/>
        </w:rPr>
        <w:t>sales of a benchmark company;</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C</w:t>
      </w:r>
      <w:r w:rsidRPr="006F2855">
        <w:rPr>
          <w:rFonts w:ascii="Times New Roman" w:hAnsi="Times New Roman" w:cs="Times New Roman"/>
          <w:i/>
          <w:iCs/>
          <w:sz w:val="24"/>
          <w:szCs w:val="24"/>
          <w:vertAlign w:val="superscript"/>
        </w:rPr>
        <w:t>*</w:t>
      </w:r>
      <w:r w:rsidRPr="006F2855">
        <w:rPr>
          <w:rFonts w:ascii="Times New Roman" w:hAnsi="Times New Roman" w:cs="Times New Roman"/>
          <w:i/>
          <w:iCs/>
          <w:sz w:val="24"/>
          <w:szCs w:val="24"/>
          <w:vertAlign w:val="subscript"/>
        </w:rPr>
        <w:t>i</w:t>
      </w:r>
      <w:r w:rsidRPr="006F2855">
        <w:rPr>
          <w:rFonts w:ascii="Times New Roman" w:hAnsi="Times New Roman" w:cs="Times New Roman"/>
          <w:sz w:val="24"/>
          <w:szCs w:val="24"/>
        </w:rPr>
        <w:t xml:space="preserve"> = </w:t>
      </w:r>
      <w:r w:rsidRPr="006F2855">
        <w:rPr>
          <w:rFonts w:ascii="Times New Roman" w:hAnsi="Times New Roman" w:cs="Times New Roman"/>
          <w:i/>
          <w:iCs/>
          <w:sz w:val="24"/>
          <w:szCs w:val="24"/>
        </w:rPr>
        <w:t>cost  of sales a benchmark company;</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 xml:space="preserve">AD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advertiding expense and promotion cost;</w:t>
      </w:r>
    </w:p>
    <w:p w:rsidR="00692678" w:rsidRPr="006F2855" w:rsidRDefault="00692678" w:rsidP="00692678">
      <w:pPr>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 xml:space="preserve">OE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total operation expenses.</w:t>
      </w:r>
    </w:p>
    <w:p w:rsidR="00692678" w:rsidRPr="006F2855" w:rsidRDefault="00692678" w:rsidP="00692678">
      <w:pPr>
        <w:spacing w:after="0" w:line="240" w:lineRule="auto"/>
        <w:rPr>
          <w:rFonts w:ascii="Times New Roman" w:hAnsi="Times New Roman" w:cs="Times New Roman"/>
          <w:i/>
          <w:iCs/>
          <w:sz w:val="24"/>
          <w:szCs w:val="24"/>
        </w:rPr>
      </w:pPr>
    </w:p>
    <w:p w:rsidR="00692678" w:rsidRDefault="00692678" w:rsidP="00692678">
      <w:pPr>
        <w:tabs>
          <w:tab w:val="left" w:pos="709"/>
          <w:tab w:val="left" w:pos="1390"/>
        </w:tabs>
        <w:spacing w:after="0" w:line="240" w:lineRule="auto"/>
        <w:jc w:val="both"/>
        <w:rPr>
          <w:rFonts w:ascii="Times New Roman" w:hAnsi="Times New Roman" w:cs="Times New Roman"/>
          <w:sz w:val="24"/>
          <w:szCs w:val="24"/>
        </w:rPr>
      </w:pPr>
      <w:r w:rsidRPr="006F2855">
        <w:rPr>
          <w:rFonts w:ascii="Times New Roman" w:hAnsi="Times New Roman" w:cs="Times New Roman"/>
          <w:sz w:val="24"/>
          <w:szCs w:val="24"/>
        </w:rPr>
        <w:tab/>
        <w:t>LD mengacu pada kemampuan sebuah merek untuk mempertahankan penjualan yang stabil dalam jangka panjang berkat loyalitas pelanggan dan kesediaan pelanggan dalam mengulangi untuk pembeliannya pada merek yang sama. LD adalah stabilitas harga pokok penjualan. LD diukur dengan menggunakan rumus berikut ini:</w:t>
      </w:r>
    </w:p>
    <w:p w:rsidR="004B1C3E" w:rsidRDefault="004B1C3E" w:rsidP="00692678">
      <w:pPr>
        <w:tabs>
          <w:tab w:val="left" w:pos="709"/>
          <w:tab w:val="left" w:pos="1390"/>
        </w:tabs>
        <w:spacing w:after="0" w:line="240" w:lineRule="auto"/>
        <w:jc w:val="both"/>
        <w:rPr>
          <w:rFonts w:ascii="Times New Roman" w:hAnsi="Times New Roman" w:cs="Times New Roman"/>
          <w:sz w:val="24"/>
          <w:szCs w:val="24"/>
        </w:rPr>
      </w:pPr>
    </w:p>
    <w:p w:rsidR="004B1C3E" w:rsidRPr="006F2855" w:rsidRDefault="004B1C3E" w:rsidP="00692678">
      <w:pPr>
        <w:tabs>
          <w:tab w:val="left" w:pos="709"/>
          <w:tab w:val="left" w:pos="1390"/>
        </w:tabs>
        <w:spacing w:after="0" w:line="240" w:lineRule="auto"/>
        <w:jc w:val="both"/>
        <w:rPr>
          <w:rFonts w:ascii="Times New Roman" w:hAnsi="Times New Roman" w:cs="Times New Roman"/>
          <w:sz w:val="24"/>
          <w:szCs w:val="24"/>
        </w:rPr>
      </w:pPr>
    </w:p>
    <w:p w:rsidR="00692678" w:rsidRDefault="00692678" w:rsidP="00692678">
      <w:pPr>
        <w:tabs>
          <w:tab w:val="left" w:pos="1390"/>
        </w:tabs>
        <w:spacing w:after="0" w:line="240" w:lineRule="auto"/>
        <w:jc w:val="both"/>
        <w:rPr>
          <w:rFonts w:ascii="Times New Roman" w:hAnsi="Times New Roman" w:cs="Times New Roman"/>
          <w:sz w:val="24"/>
          <w:szCs w:val="24"/>
        </w:rPr>
      </w:pPr>
      <w:r w:rsidRPr="006F2855">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661312" behindDoc="0" locked="0" layoutInCell="1" allowOverlap="1" wp14:anchorId="5B4D3BC3" wp14:editId="3CFA8C3F">
                <wp:simplePos x="0" y="0"/>
                <wp:positionH relativeFrom="column">
                  <wp:posOffset>1512570</wp:posOffset>
                </wp:positionH>
                <wp:positionV relativeFrom="paragraph">
                  <wp:posOffset>68580</wp:posOffset>
                </wp:positionV>
                <wp:extent cx="1509395" cy="422275"/>
                <wp:effectExtent l="0" t="0" r="14605" b="15875"/>
                <wp:wrapNone/>
                <wp:docPr id="6" name="Text Box 6"/>
                <wp:cNvGraphicFramePr/>
                <a:graphic xmlns:a="http://schemas.openxmlformats.org/drawingml/2006/main">
                  <a:graphicData uri="http://schemas.microsoft.com/office/word/2010/wordprocessingShape">
                    <wps:wsp>
                      <wps:cNvSpPr txBox="1"/>
                      <wps:spPr>
                        <a:xfrm>
                          <a:off x="0" y="0"/>
                          <a:ext cx="1509395" cy="422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E1C" w:rsidRDefault="00496E1C" w:rsidP="00692678">
                            <m:oMathPara>
                              <m:oMath>
                                <m:r>
                                  <w:rPr>
                                    <w:rFonts w:ascii="Cambria Math" w:hAnsi="Cambria Math" w:cs="Arial"/>
                                  </w:rPr>
                                  <m:t>LD=</m:t>
                                </m:r>
                                <m:f>
                                  <m:fPr>
                                    <m:ctrlPr>
                                      <w:rPr>
                                        <w:rFonts w:ascii="Cambria Math" w:hAnsi="Cambria Math" w:cs="Arial"/>
                                        <w:i/>
                                      </w:rPr>
                                    </m:ctrlPr>
                                  </m:fPr>
                                  <m:num>
                                    <m:r>
                                      <w:rPr>
                                        <w:rFonts w:ascii="Cambria Math" w:hAnsi="Cambria Math" w:cs="Arial"/>
                                      </w:rPr>
                                      <m:t>μ</m:t>
                                    </m:r>
                                    <m:box>
                                      <m:boxPr>
                                        <m:ctrlPr>
                                          <w:rPr>
                                            <w:rFonts w:ascii="Cambria Math" w:hAnsi="Cambria Math" w:cs="Arial"/>
                                            <w:i/>
                                          </w:rPr>
                                        </m:ctrlPr>
                                      </m:boxPr>
                                      <m:e>
                                        <m:argPr>
                                          <m:argSz m:val="-1"/>
                                        </m:argPr>
                                        <m:r>
                                          <w:rPr>
                                            <w:rFonts w:ascii="Cambria Math" w:hAnsi="Cambria Math" w:cs="Arial"/>
                                          </w:rPr>
                                          <m:t>c</m:t>
                                        </m:r>
                                      </m:e>
                                    </m:box>
                                    <m:r>
                                      <w:rPr>
                                        <w:rFonts w:ascii="Cambria Math" w:hAnsi="Cambria Math" w:cs="Arial"/>
                                      </w:rPr>
                                      <m:t>-σ</m:t>
                                    </m:r>
                                    <m:box>
                                      <m:boxPr>
                                        <m:ctrlPr>
                                          <w:rPr>
                                            <w:rFonts w:ascii="Cambria Math" w:hAnsi="Cambria Math" w:cs="Arial"/>
                                            <w:i/>
                                          </w:rPr>
                                        </m:ctrlPr>
                                      </m:boxPr>
                                      <m:e>
                                        <m:argPr>
                                          <m:argSz m:val="-1"/>
                                        </m:argPr>
                                        <m:r>
                                          <w:rPr>
                                            <w:rFonts w:ascii="Cambria Math" w:hAnsi="Cambria Math" w:cs="Arial"/>
                                          </w:rPr>
                                          <m:t>c</m:t>
                                        </m:r>
                                      </m:e>
                                    </m:box>
                                  </m:num>
                                  <m:den>
                                    <m:r>
                                      <w:rPr>
                                        <w:rFonts w:ascii="Cambria Math" w:hAnsi="Cambria Math" w:cs="Arial"/>
                                      </w:rPr>
                                      <m:t>μc</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8" type="#_x0000_t202" style="position:absolute;left:0;text-align:left;margin-left:119.1pt;margin-top:5.4pt;width:118.85pt;height:33.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" fillcolor="white [3201]" strokeweight=".5pt">
                <v:textbox>
                  <w:txbxContent>
                    <w:p w:rsidR="00496E1C" w:rsidRDefault="00496E1C" w:rsidP="00692678">
                      <m:oMathPara>
                        <m:oMath>
                          <m:r>
                            <w:rPr>
                              <w:rFonts w:ascii="Cambria Math" w:hAnsi="Cambria Math" w:cs="Arial"/>
                            </w:rPr>
                            <m:t>LD=</m:t>
                          </m:r>
                          <m:f>
                            <m:fPr>
                              <m:ctrlPr>
                                <w:rPr>
                                  <w:rFonts w:ascii="Cambria Math" w:hAnsi="Cambria Math" w:cs="Arial"/>
                                  <w:i/>
                                </w:rPr>
                              </m:ctrlPr>
                            </m:fPr>
                            <m:num>
                              <m:r>
                                <w:rPr>
                                  <w:rFonts w:ascii="Cambria Math" w:hAnsi="Cambria Math" w:cs="Arial"/>
                                </w:rPr>
                                <m:t>μ</m:t>
                              </m:r>
                              <m:box>
                                <m:boxPr>
                                  <m:ctrlPr>
                                    <w:rPr>
                                      <w:rFonts w:ascii="Cambria Math" w:hAnsi="Cambria Math" w:cs="Arial"/>
                                      <w:i/>
                                    </w:rPr>
                                  </m:ctrlPr>
                                </m:boxPr>
                                <m:e>
                                  <m:argPr>
                                    <m:argSz m:val="-1"/>
                                  </m:argPr>
                                  <m:r>
                                    <w:rPr>
                                      <w:rFonts w:ascii="Cambria Math" w:hAnsi="Cambria Math" w:cs="Arial"/>
                                    </w:rPr>
                                    <m:t>c</m:t>
                                  </m:r>
                                </m:e>
                              </m:box>
                              <m:r>
                                <w:rPr>
                                  <w:rFonts w:ascii="Cambria Math" w:hAnsi="Cambria Math" w:cs="Arial"/>
                                </w:rPr>
                                <m:t>-σ</m:t>
                              </m:r>
                              <m:box>
                                <m:boxPr>
                                  <m:ctrlPr>
                                    <w:rPr>
                                      <w:rFonts w:ascii="Cambria Math" w:hAnsi="Cambria Math" w:cs="Arial"/>
                                      <w:i/>
                                    </w:rPr>
                                  </m:ctrlPr>
                                </m:boxPr>
                                <m:e>
                                  <m:argPr>
                                    <m:argSz m:val="-1"/>
                                  </m:argPr>
                                  <m:r>
                                    <w:rPr>
                                      <w:rFonts w:ascii="Cambria Math" w:hAnsi="Cambria Math" w:cs="Arial"/>
                                    </w:rPr>
                                    <m:t>c</m:t>
                                  </m:r>
                                </m:e>
                              </m:box>
                            </m:num>
                            <m:den>
                              <m:r>
                                <w:rPr>
                                  <w:rFonts w:ascii="Cambria Math" w:hAnsi="Cambria Math" w:cs="Arial"/>
                                </w:rPr>
                                <m:t>μc</m:t>
                              </m:r>
                            </m:den>
                          </m:f>
                        </m:oMath>
                      </m:oMathPara>
                    </w:p>
                  </w:txbxContent>
                </v:textbox>
              </v:shape>
            </w:pict>
          </mc:Fallback>
        </mc:AlternateContent>
      </w:r>
    </w:p>
    <w:p w:rsidR="00692678" w:rsidRPr="006F2855" w:rsidRDefault="00692678" w:rsidP="00692678">
      <w:pPr>
        <w:tabs>
          <w:tab w:val="left" w:pos="1390"/>
        </w:tabs>
        <w:spacing w:after="0" w:line="240" w:lineRule="auto"/>
        <w:jc w:val="both"/>
        <w:rPr>
          <w:rFonts w:ascii="Times New Roman" w:hAnsi="Times New Roman" w:cs="Times New Roman"/>
          <w:sz w:val="24"/>
          <w:szCs w:val="24"/>
        </w:rPr>
      </w:pPr>
    </w:p>
    <w:p w:rsidR="00692678" w:rsidRPr="006F2855" w:rsidRDefault="00692678" w:rsidP="00692678">
      <w:pPr>
        <w:tabs>
          <w:tab w:val="left" w:pos="2528"/>
        </w:tabs>
        <w:spacing w:after="0" w:line="240" w:lineRule="auto"/>
        <w:rPr>
          <w:rFonts w:ascii="Times New Roman" w:hAnsi="Times New Roman" w:cs="Times New Roman"/>
          <w:sz w:val="24"/>
          <w:szCs w:val="24"/>
        </w:rPr>
      </w:pPr>
    </w:p>
    <w:p w:rsidR="00692678" w:rsidRPr="006F2855" w:rsidRDefault="00692678" w:rsidP="00692678">
      <w:pPr>
        <w:spacing w:after="0" w:line="240" w:lineRule="auto"/>
        <w:rPr>
          <w:rFonts w:ascii="Times New Roman" w:hAnsi="Times New Roman" w:cs="Times New Roman"/>
          <w:sz w:val="24"/>
          <w:szCs w:val="24"/>
        </w:rPr>
      </w:pPr>
      <w:r w:rsidRPr="006F2855">
        <w:rPr>
          <w:rFonts w:ascii="Times New Roman" w:hAnsi="Times New Roman" w:cs="Times New Roman"/>
          <w:sz w:val="24"/>
          <w:szCs w:val="24"/>
        </w:rPr>
        <w:tab/>
      </w:r>
      <w:r w:rsidRPr="006F2855">
        <w:rPr>
          <w:rFonts w:ascii="Times New Roman" w:hAnsi="Times New Roman" w:cs="Times New Roman"/>
          <w:sz w:val="24"/>
          <w:szCs w:val="24"/>
        </w:rPr>
        <w:tab/>
      </w:r>
      <w:r w:rsidRPr="006F2855">
        <w:rPr>
          <w:rFonts w:ascii="Times New Roman" w:hAnsi="Times New Roman" w:cs="Times New Roman"/>
          <w:sz w:val="24"/>
          <w:szCs w:val="24"/>
        </w:rPr>
        <w:tab/>
        <w:t xml:space="preserve">Sumber: 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xml:space="preserve"> (2002)</w:t>
      </w:r>
    </w:p>
    <w:p w:rsidR="00692678" w:rsidRPr="006F2855" w:rsidRDefault="00692678" w:rsidP="00692678">
      <w:pPr>
        <w:tabs>
          <w:tab w:val="left" w:pos="2528"/>
        </w:tabs>
        <w:spacing w:after="0" w:line="240" w:lineRule="auto"/>
        <w:rPr>
          <w:rFonts w:ascii="Times New Roman" w:hAnsi="Times New Roman" w:cs="Times New Roman"/>
          <w:sz w:val="24"/>
          <w:szCs w:val="24"/>
        </w:rPr>
      </w:pPr>
      <w:r w:rsidRPr="006F2855">
        <w:rPr>
          <w:rFonts w:ascii="Times New Roman" w:hAnsi="Times New Roman" w:cs="Times New Roman"/>
          <w:sz w:val="24"/>
          <w:szCs w:val="24"/>
        </w:rPr>
        <w:t>Di mana:</w:t>
      </w:r>
    </w:p>
    <w:p w:rsidR="00692678" w:rsidRPr="006F2855" w:rsidRDefault="00692678" w:rsidP="00692678">
      <w:pPr>
        <w:tabs>
          <w:tab w:val="left" w:pos="2528"/>
        </w:tabs>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 xml:space="preserve">LD = </w:t>
      </w:r>
      <w:r w:rsidRPr="006F2855">
        <w:rPr>
          <w:rFonts w:ascii="Times New Roman" w:hAnsi="Times New Roman" w:cs="Times New Roman"/>
          <w:i/>
          <w:iCs/>
          <w:sz w:val="24"/>
          <w:szCs w:val="24"/>
        </w:rPr>
        <w:t>loyality driver;</w:t>
      </w:r>
    </w:p>
    <w:p w:rsidR="00692678" w:rsidRPr="006F2855" w:rsidRDefault="00692678" w:rsidP="00692678">
      <w:pPr>
        <w:tabs>
          <w:tab w:val="left" w:pos="2528"/>
        </w:tabs>
        <w:spacing w:after="0" w:line="240" w:lineRule="auto"/>
        <w:rPr>
          <w:rFonts w:ascii="Times New Roman" w:hAnsi="Times New Roman" w:cs="Times New Roman"/>
          <w:i/>
          <w:iCs/>
          <w:sz w:val="24"/>
          <w:szCs w:val="24"/>
        </w:rPr>
      </w:pPr>
      <w:r w:rsidRPr="006F2855">
        <w:rPr>
          <w:rFonts w:ascii="Times New Roman" w:hAnsi="Times New Roman" w:cs="Times New Roman"/>
          <w:sz w:val="24"/>
          <w:szCs w:val="24"/>
        </w:rPr>
        <w:t>μ</w:t>
      </w:r>
      <w:r w:rsidRPr="006F2855">
        <w:rPr>
          <w:rFonts w:ascii="Times New Roman" w:hAnsi="Times New Roman" w:cs="Times New Roman"/>
          <w:sz w:val="24"/>
          <w:szCs w:val="24"/>
          <w:vertAlign w:val="subscript"/>
        </w:rPr>
        <w:t xml:space="preserve">c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five-year average of firms’ cost of sales;</w:t>
      </w:r>
    </w:p>
    <w:p w:rsidR="00692678" w:rsidRPr="006F2855" w:rsidRDefault="00692678" w:rsidP="00692678">
      <w:pPr>
        <w:tabs>
          <w:tab w:val="left" w:pos="2528"/>
        </w:tabs>
        <w:spacing w:after="0" w:line="240" w:lineRule="auto"/>
        <w:rPr>
          <w:rFonts w:ascii="Times New Roman" w:hAnsi="Times New Roman" w:cs="Times New Roman"/>
          <w:i/>
          <w:iCs/>
          <w:sz w:val="24"/>
          <w:szCs w:val="24"/>
        </w:rPr>
      </w:pPr>
      <w:r w:rsidRPr="006F2855">
        <w:rPr>
          <w:rFonts w:ascii="Times New Roman" w:hAnsi="Times New Roman" w:cs="Times New Roman"/>
          <w:i/>
          <w:iCs/>
          <w:sz w:val="24"/>
          <w:szCs w:val="24"/>
        </w:rPr>
        <w:t>σ</w:t>
      </w:r>
      <w:r w:rsidRPr="006F2855">
        <w:rPr>
          <w:rFonts w:ascii="Times New Roman" w:hAnsi="Times New Roman" w:cs="Times New Roman"/>
          <w:i/>
          <w:iCs/>
          <w:sz w:val="24"/>
          <w:szCs w:val="24"/>
          <w:vertAlign w:val="subscript"/>
        </w:rPr>
        <w:t>c</w:t>
      </w:r>
      <w:r w:rsidRPr="006F2855">
        <w:rPr>
          <w:rFonts w:ascii="Times New Roman" w:hAnsi="Times New Roman" w:cs="Times New Roman"/>
          <w:i/>
          <w:iCs/>
          <w:sz w:val="24"/>
          <w:szCs w:val="24"/>
        </w:rPr>
        <w:t xml:space="preserve"> </w:t>
      </w:r>
      <w:r w:rsidRPr="006F2855">
        <w:rPr>
          <w:rFonts w:ascii="Times New Roman" w:hAnsi="Times New Roman" w:cs="Times New Roman"/>
          <w:sz w:val="24"/>
          <w:szCs w:val="24"/>
        </w:rPr>
        <w:t xml:space="preserve">= </w:t>
      </w:r>
      <w:r w:rsidRPr="006F2855">
        <w:rPr>
          <w:rFonts w:ascii="Times New Roman" w:hAnsi="Times New Roman" w:cs="Times New Roman"/>
          <w:i/>
          <w:iCs/>
          <w:sz w:val="24"/>
          <w:szCs w:val="24"/>
        </w:rPr>
        <w:t>five-year standard deviation of firms’ cost of sales</w:t>
      </w:r>
    </w:p>
    <w:p w:rsidR="00692678" w:rsidRDefault="00692678" w:rsidP="00692678">
      <w:pPr>
        <w:tabs>
          <w:tab w:val="left" w:pos="709"/>
        </w:tabs>
        <w:spacing w:after="0" w:line="240" w:lineRule="auto"/>
        <w:jc w:val="both"/>
        <w:rPr>
          <w:rFonts w:ascii="Times New Roman" w:hAnsi="Times New Roman" w:cs="Times New Roman"/>
          <w:sz w:val="24"/>
          <w:szCs w:val="24"/>
        </w:rPr>
      </w:pPr>
    </w:p>
    <w:p w:rsidR="00692678" w:rsidRPr="006F2855" w:rsidRDefault="00692678" w:rsidP="00692678">
      <w:pPr>
        <w:tabs>
          <w:tab w:val="left" w:pos="709"/>
        </w:tabs>
        <w:spacing w:after="0" w:line="240" w:lineRule="auto"/>
        <w:jc w:val="both"/>
        <w:rPr>
          <w:rFonts w:ascii="Times New Roman" w:hAnsi="Times New Roman" w:cs="Times New Roman"/>
          <w:sz w:val="24"/>
          <w:szCs w:val="24"/>
        </w:rPr>
      </w:pPr>
      <w:r w:rsidRPr="006F2855">
        <w:rPr>
          <w:rFonts w:ascii="Times New Roman" w:hAnsi="Times New Roman" w:cs="Times New Roman"/>
          <w:sz w:val="24"/>
          <w:szCs w:val="24"/>
        </w:rPr>
        <w:tab/>
        <w:t>ED menentukan kemampuan ekspansi merek, maksudnya adalah mencerminkan kemampuan merek terkenal untuk memperluas jaringan bisnisnya ke seluruh sektor industri yang berbeda dan wilayah geografis lainnya. Rumus yang digunakan untuk mengkuantifikasikan ED dalam penelitian ini adalah sebagai berikut:</w:t>
      </w:r>
    </w:p>
    <w:p w:rsidR="00692678" w:rsidRPr="006F2855" w:rsidRDefault="00692678" w:rsidP="00692678">
      <w:pPr>
        <w:spacing w:after="0" w:line="240" w:lineRule="auto"/>
        <w:ind w:left="426" w:hanging="426"/>
        <w:rPr>
          <w:rFonts w:ascii="Times New Roman" w:hAnsi="Times New Roman" w:cs="Times New Roman"/>
          <w:sz w:val="24"/>
          <w:szCs w:val="24"/>
        </w:rPr>
      </w:pPr>
      <w:r w:rsidRPr="006F2855">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72E30FA5" wp14:editId="0BDC2714">
                <wp:simplePos x="0" y="0"/>
                <wp:positionH relativeFrom="column">
                  <wp:posOffset>1332230</wp:posOffset>
                </wp:positionH>
                <wp:positionV relativeFrom="paragraph">
                  <wp:posOffset>68580</wp:posOffset>
                </wp:positionV>
                <wp:extent cx="2121535" cy="621665"/>
                <wp:effectExtent l="0" t="0" r="12065" b="26035"/>
                <wp:wrapNone/>
                <wp:docPr id="7" name="Text Box 7"/>
                <wp:cNvGraphicFramePr/>
                <a:graphic xmlns:a="http://schemas.openxmlformats.org/drawingml/2006/main">
                  <a:graphicData uri="http://schemas.microsoft.com/office/word/2010/wordprocessingShape">
                    <wps:wsp>
                      <wps:cNvSpPr txBox="1"/>
                      <wps:spPr>
                        <a:xfrm>
                          <a:off x="0" y="0"/>
                          <a:ext cx="2121535" cy="621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6E1C" w:rsidRDefault="00496E1C" w:rsidP="00692678">
                            <m:oMathPara>
                              <m:oMath>
                                <m:r>
                                  <w:rPr>
                                    <w:rFonts w:ascii="Cambria Math" w:hAnsi="Cambria Math" w:cs="Arial"/>
                                  </w:rPr>
                                  <m:t>ED=</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0</m:t>
                                    </m:r>
                                  </m:sup>
                                  <m:e>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m:t>
                                                </m:r>
                                              </m:e>
                                            </m:box>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i-1</m:t>
                                                </m:r>
                                              </m:e>
                                            </m:box>
                                          </m:num>
                                          <m:den>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i-1</m:t>
                                                </m:r>
                                              </m:e>
                                            </m:box>
                                          </m:den>
                                        </m:f>
                                        <m:r>
                                          <w:rPr>
                                            <w:rFonts w:ascii="Cambria Math" w:hAnsi="Cambria Math" w:cs="Arial"/>
                                          </w:rPr>
                                          <m:t>+1</m:t>
                                        </m:r>
                                      </m:e>
                                    </m:d>
                                  </m:e>
                                </m:nary>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9" type="#_x0000_t202" style="position:absolute;left:0;text-align:left;margin-left:104.9pt;margin-top:5.4pt;width:167.05pt;height:48.9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" fillcolor="white [3201]" strokeweight=".5pt">
                <v:textbox>
                  <w:txbxContent>
                    <w:p w:rsidR="00496E1C" w:rsidRDefault="00496E1C" w:rsidP="00692678">
                      <m:oMathPara>
                        <m:oMath>
                          <m:r>
                            <w:rPr>
                              <w:rFonts w:ascii="Cambria Math" w:hAnsi="Cambria Math" w:cs="Arial"/>
                            </w:rPr>
                            <m:t>ED=</m:t>
                          </m:r>
                          <m:f>
                            <m:fPr>
                              <m:ctrlPr>
                                <w:rPr>
                                  <w:rFonts w:ascii="Cambria Math" w:hAnsi="Cambria Math" w:cs="Arial"/>
                                  <w:i/>
                                </w:rPr>
                              </m:ctrlPr>
                            </m:fPr>
                            <m:num>
                              <m:r>
                                <w:rPr>
                                  <w:rFonts w:ascii="Cambria Math" w:hAnsi="Cambria Math" w:cs="Arial"/>
                                </w:rPr>
                                <m:t>1</m:t>
                              </m:r>
                            </m:num>
                            <m:den>
                              <m:r>
                                <w:rPr>
                                  <w:rFonts w:ascii="Cambria Math" w:hAnsi="Cambria Math" w:cs="Arial"/>
                                </w:rPr>
                                <m:t>2</m:t>
                              </m:r>
                            </m:den>
                          </m:f>
                          <m:nary>
                            <m:naryPr>
                              <m:chr m:val="∑"/>
                              <m:limLoc m:val="undOvr"/>
                              <m:ctrlPr>
                                <w:rPr>
                                  <w:rFonts w:ascii="Cambria Math" w:hAnsi="Cambria Math" w:cs="Arial"/>
                                  <w:i/>
                                </w:rPr>
                              </m:ctrlPr>
                            </m:naryPr>
                            <m:sub>
                              <m:r>
                                <w:rPr>
                                  <w:rFonts w:ascii="Cambria Math" w:hAnsi="Cambria Math" w:cs="Arial"/>
                                </w:rPr>
                                <m:t>i=-1</m:t>
                              </m:r>
                            </m:sub>
                            <m:sup>
                              <m:r>
                                <w:rPr>
                                  <w:rFonts w:ascii="Cambria Math" w:hAnsi="Cambria Math" w:cs="Arial"/>
                                </w:rPr>
                                <m:t>0</m:t>
                              </m:r>
                            </m:sup>
                            <m:e>
                              <m:d>
                                <m:dPr>
                                  <m:begChr m:val="⌊"/>
                                  <m:endChr m:val="⌋"/>
                                  <m:ctrlPr>
                                    <w:rPr>
                                      <w:rFonts w:ascii="Cambria Math" w:hAnsi="Cambria Math" w:cs="Arial"/>
                                      <w:i/>
                                    </w:rPr>
                                  </m:ctrlPr>
                                </m:dPr>
                                <m:e>
                                  <m:f>
                                    <m:fPr>
                                      <m:ctrlPr>
                                        <w:rPr>
                                          <w:rFonts w:ascii="Cambria Math" w:hAnsi="Cambria Math" w:cs="Arial"/>
                                          <w:i/>
                                        </w:rPr>
                                      </m:ctrlPr>
                                    </m:fPr>
                                    <m:num>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m:t>
                                          </m:r>
                                        </m:e>
                                      </m:box>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i-1</m:t>
                                          </m:r>
                                        </m:e>
                                      </m:box>
                                    </m:num>
                                    <m:den>
                                      <m:r>
                                        <w:rPr>
                                          <w:rFonts w:ascii="Cambria Math" w:hAnsi="Cambria Math" w:cs="Arial"/>
                                        </w:rPr>
                                        <m:t>SX</m:t>
                                      </m:r>
                                      <m:box>
                                        <m:boxPr>
                                          <m:ctrlPr>
                                            <w:rPr>
                                              <w:rFonts w:ascii="Cambria Math" w:hAnsi="Cambria Math" w:cs="Arial"/>
                                              <w:i/>
                                            </w:rPr>
                                          </m:ctrlPr>
                                        </m:boxPr>
                                        <m:e>
                                          <m:argPr>
                                            <m:argSz m:val="-1"/>
                                          </m:argPr>
                                          <m:r>
                                            <w:rPr>
                                              <w:rFonts w:ascii="Cambria Math" w:hAnsi="Cambria Math" w:cs="Arial"/>
                                            </w:rPr>
                                            <m:t>i-1</m:t>
                                          </m:r>
                                        </m:e>
                                      </m:box>
                                    </m:den>
                                  </m:f>
                                  <m:r>
                                    <w:rPr>
                                      <w:rFonts w:ascii="Cambria Math" w:hAnsi="Cambria Math" w:cs="Arial"/>
                                    </w:rPr>
                                    <m:t>+1</m:t>
                                  </m:r>
                                </m:e>
                              </m:d>
                            </m:e>
                          </m:nary>
                        </m:oMath>
                      </m:oMathPara>
                    </w:p>
                  </w:txbxContent>
                </v:textbox>
              </v:shape>
            </w:pict>
          </mc:Fallback>
        </mc:AlternateContent>
      </w:r>
    </w:p>
    <w:p w:rsidR="00692678" w:rsidRDefault="00692678" w:rsidP="00692678">
      <w:pPr>
        <w:spacing w:after="0" w:line="240" w:lineRule="auto"/>
        <w:ind w:left="425" w:hanging="425"/>
        <w:rPr>
          <w:rFonts w:ascii="Times New Roman" w:hAnsi="Times New Roman" w:cs="Times New Roman"/>
          <w:sz w:val="24"/>
          <w:szCs w:val="24"/>
        </w:rPr>
      </w:pPr>
    </w:p>
    <w:p w:rsidR="00692678" w:rsidRPr="006F2855" w:rsidRDefault="00692678" w:rsidP="00692678">
      <w:pPr>
        <w:spacing w:after="0" w:line="240" w:lineRule="auto"/>
        <w:ind w:left="425" w:hanging="425"/>
        <w:rPr>
          <w:rFonts w:ascii="Times New Roman" w:hAnsi="Times New Roman" w:cs="Times New Roman"/>
          <w:sz w:val="24"/>
          <w:szCs w:val="24"/>
        </w:rPr>
      </w:pPr>
    </w:p>
    <w:p w:rsidR="00692678" w:rsidRPr="006F2855" w:rsidRDefault="00692678" w:rsidP="00692678">
      <w:pPr>
        <w:spacing w:after="0" w:line="240" w:lineRule="auto"/>
        <w:ind w:left="1865" w:firstLine="295"/>
        <w:rPr>
          <w:rFonts w:ascii="Times New Roman" w:hAnsi="Times New Roman" w:cs="Times New Roman"/>
          <w:sz w:val="24"/>
          <w:szCs w:val="24"/>
        </w:rPr>
      </w:pPr>
    </w:p>
    <w:p w:rsidR="00692678" w:rsidRPr="006F2855" w:rsidRDefault="00692678" w:rsidP="00692678">
      <w:pPr>
        <w:spacing w:after="0" w:line="240" w:lineRule="auto"/>
        <w:ind w:left="1865" w:firstLine="295"/>
        <w:rPr>
          <w:rFonts w:ascii="Times New Roman" w:hAnsi="Times New Roman" w:cs="Times New Roman"/>
          <w:sz w:val="24"/>
          <w:szCs w:val="24"/>
        </w:rPr>
      </w:pPr>
      <w:r w:rsidRPr="006F2855">
        <w:rPr>
          <w:rFonts w:ascii="Times New Roman" w:hAnsi="Times New Roman" w:cs="Times New Roman"/>
          <w:sz w:val="24"/>
          <w:szCs w:val="24"/>
        </w:rPr>
        <w:t xml:space="preserve">Sumber: Hirose, </w:t>
      </w:r>
      <w:r w:rsidRPr="006F2855">
        <w:rPr>
          <w:rFonts w:ascii="Times New Roman" w:hAnsi="Times New Roman" w:cs="Times New Roman"/>
          <w:i/>
          <w:sz w:val="24"/>
          <w:szCs w:val="24"/>
        </w:rPr>
        <w:t>et al.</w:t>
      </w:r>
      <w:r w:rsidRPr="006F2855">
        <w:rPr>
          <w:rFonts w:ascii="Times New Roman" w:hAnsi="Times New Roman" w:cs="Times New Roman"/>
          <w:sz w:val="24"/>
          <w:szCs w:val="24"/>
        </w:rPr>
        <w:t xml:space="preserve"> (2002)</w:t>
      </w:r>
    </w:p>
    <w:p w:rsidR="00692678" w:rsidRPr="006F2855" w:rsidRDefault="00692678" w:rsidP="00692678">
      <w:pPr>
        <w:spacing w:after="0" w:line="240" w:lineRule="auto"/>
        <w:ind w:left="425" w:hanging="425"/>
        <w:rPr>
          <w:rFonts w:ascii="Times New Roman" w:hAnsi="Times New Roman" w:cs="Times New Roman"/>
          <w:sz w:val="24"/>
          <w:szCs w:val="24"/>
        </w:rPr>
      </w:pPr>
    </w:p>
    <w:p w:rsidR="00692678" w:rsidRPr="006F2855" w:rsidRDefault="00692678" w:rsidP="00692678">
      <w:pPr>
        <w:spacing w:after="0" w:line="240" w:lineRule="auto"/>
        <w:ind w:left="425" w:hanging="425"/>
        <w:rPr>
          <w:rFonts w:ascii="Times New Roman" w:hAnsi="Times New Roman" w:cs="Times New Roman"/>
          <w:sz w:val="24"/>
          <w:szCs w:val="24"/>
        </w:rPr>
      </w:pPr>
      <w:r w:rsidRPr="006F2855">
        <w:rPr>
          <w:rFonts w:ascii="Times New Roman" w:hAnsi="Times New Roman" w:cs="Times New Roman"/>
          <w:sz w:val="24"/>
          <w:szCs w:val="24"/>
        </w:rPr>
        <w:t>Di mana:</w:t>
      </w:r>
    </w:p>
    <w:p w:rsidR="00692678" w:rsidRPr="006F2855" w:rsidRDefault="00692678" w:rsidP="00692678">
      <w:pPr>
        <w:spacing w:after="0" w:line="240" w:lineRule="auto"/>
        <w:ind w:left="425" w:hanging="425"/>
        <w:rPr>
          <w:rFonts w:ascii="Times New Roman" w:hAnsi="Times New Roman" w:cs="Times New Roman"/>
          <w:i/>
          <w:iCs/>
          <w:sz w:val="24"/>
          <w:szCs w:val="24"/>
        </w:rPr>
      </w:pPr>
      <w:r w:rsidRPr="006F2855">
        <w:rPr>
          <w:rFonts w:ascii="Times New Roman" w:hAnsi="Times New Roman" w:cs="Times New Roman"/>
          <w:sz w:val="24"/>
          <w:szCs w:val="24"/>
        </w:rPr>
        <w:t xml:space="preserve">ED = </w:t>
      </w:r>
      <w:r w:rsidRPr="006F2855">
        <w:rPr>
          <w:rFonts w:ascii="Times New Roman" w:hAnsi="Times New Roman" w:cs="Times New Roman"/>
          <w:i/>
          <w:iCs/>
          <w:sz w:val="24"/>
          <w:szCs w:val="24"/>
        </w:rPr>
        <w:t>extension driver;</w:t>
      </w:r>
    </w:p>
    <w:p w:rsidR="00692678" w:rsidRPr="006F2855" w:rsidRDefault="00692678" w:rsidP="00692678">
      <w:pPr>
        <w:spacing w:after="0" w:line="240" w:lineRule="auto"/>
        <w:ind w:left="425" w:hanging="425"/>
        <w:rPr>
          <w:rFonts w:ascii="Times New Roman" w:hAnsi="Times New Roman" w:cs="Times New Roman"/>
          <w:i/>
          <w:iCs/>
          <w:sz w:val="24"/>
          <w:szCs w:val="24"/>
        </w:rPr>
      </w:pPr>
      <w:r w:rsidRPr="006F2855">
        <w:rPr>
          <w:rFonts w:ascii="Times New Roman" w:hAnsi="Times New Roman" w:cs="Times New Roman"/>
          <w:i/>
          <w:iCs/>
          <w:sz w:val="24"/>
          <w:szCs w:val="24"/>
        </w:rPr>
        <w:t>SX</w:t>
      </w:r>
      <w:r w:rsidRPr="006F2855">
        <w:rPr>
          <w:rFonts w:ascii="Times New Roman" w:hAnsi="Times New Roman" w:cs="Times New Roman"/>
          <w:sz w:val="24"/>
          <w:szCs w:val="24"/>
        </w:rPr>
        <w:t xml:space="preserve"> = </w:t>
      </w:r>
      <w:r w:rsidRPr="006F2855">
        <w:rPr>
          <w:rFonts w:ascii="Times New Roman" w:hAnsi="Times New Roman" w:cs="Times New Roman"/>
          <w:i/>
          <w:iCs/>
          <w:sz w:val="24"/>
          <w:szCs w:val="24"/>
        </w:rPr>
        <w:t>sales from non-core and oversea business.</w:t>
      </w:r>
    </w:p>
    <w:p w:rsidR="00692678" w:rsidRPr="006F2855" w:rsidRDefault="00692678" w:rsidP="00692678">
      <w:pPr>
        <w:spacing w:after="0" w:line="240" w:lineRule="auto"/>
        <w:jc w:val="both"/>
        <w:rPr>
          <w:rFonts w:ascii="Times New Roman" w:hAnsi="Times New Roman" w:cs="Times New Roman"/>
          <w:sz w:val="24"/>
          <w:szCs w:val="24"/>
        </w:rPr>
      </w:pPr>
    </w:p>
    <w:p w:rsidR="00692678" w:rsidRPr="00F354CB" w:rsidRDefault="00692678" w:rsidP="00692678">
      <w:pPr>
        <w:spacing w:after="0" w:line="240" w:lineRule="auto"/>
        <w:jc w:val="both"/>
        <w:rPr>
          <w:rFonts w:ascii="Times New Roman" w:hAnsi="Times New Roman" w:cs="Times New Roman"/>
          <w:sz w:val="24"/>
          <w:szCs w:val="24"/>
        </w:rPr>
      </w:pPr>
      <w:r w:rsidRPr="00F354CB">
        <w:rPr>
          <w:rFonts w:ascii="Times New Roman" w:hAnsi="Times New Roman" w:cs="Times New Roman"/>
          <w:sz w:val="24"/>
          <w:szCs w:val="24"/>
        </w:rPr>
        <w:t xml:space="preserve">Struktur modal diukur dengan menggunakan </w:t>
      </w:r>
      <w:r w:rsidRPr="00F354CB">
        <w:rPr>
          <w:rFonts w:ascii="Times New Roman" w:hAnsi="Times New Roman" w:cs="Times New Roman"/>
          <w:i/>
          <w:sz w:val="24"/>
          <w:szCs w:val="24"/>
        </w:rPr>
        <w:t>debt  ratio</w:t>
      </w:r>
      <w:r w:rsidRPr="00F354CB">
        <w:rPr>
          <w:rFonts w:ascii="Times New Roman" w:hAnsi="Times New Roman" w:cs="Times New Roman"/>
          <w:sz w:val="24"/>
          <w:szCs w:val="24"/>
        </w:rPr>
        <w:t xml:space="preserve"> (DR). Profitabilitas dikur dengan menggunakan </w:t>
      </w:r>
      <w:r w:rsidRPr="00F354CB">
        <w:rPr>
          <w:rFonts w:ascii="Times New Roman" w:hAnsi="Times New Roman" w:cs="Times New Roman"/>
          <w:i/>
          <w:sz w:val="24"/>
          <w:szCs w:val="24"/>
        </w:rPr>
        <w:t>return on assets</w:t>
      </w:r>
      <w:r w:rsidRPr="00F354CB">
        <w:rPr>
          <w:rFonts w:ascii="Times New Roman" w:hAnsi="Times New Roman" w:cs="Times New Roman"/>
          <w:sz w:val="24"/>
          <w:szCs w:val="24"/>
        </w:rPr>
        <w:t xml:space="preserve"> (RoA). Sedangkan nilai perusahaan diukur dengan menggunakan Tobin’s Q.</w:t>
      </w:r>
    </w:p>
    <w:p w:rsidR="00692678" w:rsidRPr="00F354CB" w:rsidRDefault="00692678" w:rsidP="00692678">
      <w:pPr>
        <w:spacing w:after="0" w:line="240" w:lineRule="auto"/>
        <w:jc w:val="both"/>
        <w:rPr>
          <w:rFonts w:ascii="Times New Roman" w:hAnsi="Times New Roman" w:cs="Times New Roman"/>
          <w:sz w:val="24"/>
          <w:szCs w:val="24"/>
        </w:rPr>
      </w:pPr>
      <w:r w:rsidRPr="00F354CB">
        <w:rPr>
          <w:rFonts w:ascii="Times New Roman" w:hAnsi="Times New Roman" w:cs="Times New Roman"/>
          <w:sz w:val="24"/>
          <w:szCs w:val="24"/>
        </w:rPr>
        <w:t xml:space="preserve">Pengaruh ekuitas merek terhadap </w:t>
      </w:r>
      <w:r w:rsidR="008000B8">
        <w:rPr>
          <w:rFonts w:ascii="Times New Roman" w:hAnsi="Times New Roman" w:cs="Times New Roman"/>
          <w:sz w:val="24"/>
          <w:szCs w:val="24"/>
        </w:rPr>
        <w:t xml:space="preserve">nilai </w:t>
      </w:r>
      <w:r>
        <w:rPr>
          <w:rFonts w:ascii="Times New Roman" w:hAnsi="Times New Roman" w:cs="Times New Roman"/>
          <w:sz w:val="24"/>
          <w:szCs w:val="24"/>
        </w:rPr>
        <w:t xml:space="preserve">perusahaan </w:t>
      </w:r>
      <w:r w:rsidR="008000B8">
        <w:rPr>
          <w:rFonts w:ascii="Times New Roman" w:hAnsi="Times New Roman" w:cs="Times New Roman"/>
          <w:sz w:val="24"/>
          <w:szCs w:val="24"/>
        </w:rPr>
        <w:t xml:space="preserve">dengan variabel kontrol struktur modal dan profitabilitas </w:t>
      </w:r>
      <w:r w:rsidRPr="00F354CB">
        <w:rPr>
          <w:rFonts w:ascii="Times New Roman" w:hAnsi="Times New Roman" w:cs="Times New Roman"/>
          <w:sz w:val="24"/>
          <w:szCs w:val="24"/>
        </w:rPr>
        <w:t xml:space="preserve">ini dianalisis menggunakan </w:t>
      </w:r>
      <w:r w:rsidR="008000B8">
        <w:rPr>
          <w:rFonts w:ascii="Times New Roman" w:hAnsi="Times New Roman" w:cs="Times New Roman"/>
          <w:iCs/>
          <w:sz w:val="24"/>
          <w:szCs w:val="24"/>
        </w:rPr>
        <w:t xml:space="preserve">regresi linier berganda yang dibantu </w:t>
      </w:r>
      <w:r w:rsidR="004A3287">
        <w:rPr>
          <w:rFonts w:ascii="Times New Roman" w:hAnsi="Times New Roman" w:cs="Times New Roman"/>
          <w:iCs/>
          <w:sz w:val="24"/>
          <w:szCs w:val="24"/>
        </w:rPr>
        <w:t xml:space="preserve">menggunakan alat analisis </w:t>
      </w:r>
      <w:r w:rsidR="008000B8">
        <w:rPr>
          <w:rFonts w:ascii="Times New Roman" w:hAnsi="Times New Roman" w:cs="Times New Roman"/>
          <w:iCs/>
          <w:sz w:val="24"/>
          <w:szCs w:val="24"/>
        </w:rPr>
        <w:t>SPSS versi 25</w:t>
      </w:r>
      <w:r w:rsidRPr="00F354CB">
        <w:rPr>
          <w:rFonts w:ascii="Times New Roman" w:hAnsi="Times New Roman" w:cs="Times New Roman"/>
          <w:sz w:val="24"/>
          <w:szCs w:val="24"/>
        </w:rPr>
        <w:t xml:space="preserve">. </w:t>
      </w:r>
    </w:p>
    <w:p w:rsidR="00B64E16" w:rsidRDefault="00B64E16" w:rsidP="00B64E16">
      <w:pPr>
        <w:spacing w:after="0" w:line="240" w:lineRule="auto"/>
        <w:jc w:val="both"/>
        <w:rPr>
          <w:rFonts w:ascii="Times New Roman" w:hAnsi="Times New Roman" w:cs="Times New Roman"/>
          <w:b/>
          <w:iCs/>
          <w:sz w:val="24"/>
          <w:szCs w:val="24"/>
        </w:rPr>
      </w:pPr>
    </w:p>
    <w:p w:rsidR="00B64E16" w:rsidRDefault="00B64E16" w:rsidP="00B64E1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Data dan Hasil</w:t>
      </w:r>
    </w:p>
    <w:p w:rsidR="00D418D3" w:rsidRDefault="004A3287" w:rsidP="00B64E16">
      <w:pPr>
        <w:spacing w:after="0" w:line="240" w:lineRule="auto"/>
        <w:jc w:val="both"/>
        <w:rPr>
          <w:rFonts w:ascii="Times New Roman" w:eastAsia="Times New Roman" w:hAnsi="Times New Roman" w:cs="Times New Roman"/>
          <w:i/>
          <w:sz w:val="24"/>
          <w:szCs w:val="28"/>
        </w:rPr>
      </w:pPr>
      <w:r>
        <w:rPr>
          <w:rFonts w:ascii="Times New Roman" w:hAnsi="Times New Roman" w:cs="Times New Roman"/>
          <w:iCs/>
          <w:sz w:val="24"/>
          <w:szCs w:val="24"/>
        </w:rPr>
        <w:t xml:space="preserve">Penelitian ini menguji nilai strategis ekuitas merek bagi perusahaan. Sampel yang diteliti adalah perusahaan sektor barang konsumsi yang terdaftar di Bursa Efek Indonesia tahun 2012-2017, dengan unit analisis sebanyak </w:t>
      </w:r>
      <w:r>
        <w:rPr>
          <w:rFonts w:ascii="Times New Roman" w:eastAsia="Times New Roman" w:hAnsi="Times New Roman" w:cs="Times New Roman"/>
          <w:sz w:val="24"/>
          <w:szCs w:val="28"/>
        </w:rPr>
        <w:t>126 (21 perusahaan X 6 tahun).</w:t>
      </w:r>
      <w:r>
        <w:rPr>
          <w:rFonts w:ascii="Times New Roman" w:eastAsia="Times New Roman" w:hAnsi="Times New Roman" w:cs="Times New Roman"/>
          <w:sz w:val="24"/>
          <w:szCs w:val="28"/>
        </w:rPr>
        <w:t xml:space="preserve"> </w:t>
      </w:r>
      <w:r w:rsidR="00D418D3">
        <w:rPr>
          <w:rFonts w:ascii="Times New Roman" w:eastAsia="Times New Roman" w:hAnsi="Times New Roman" w:cs="Times New Roman"/>
          <w:sz w:val="24"/>
          <w:szCs w:val="28"/>
        </w:rPr>
        <w:t xml:space="preserve">Variabel dependen dalam penelitian ini adalah nilai perusahaan yang diukur dengan menggunakan Tobin’s Q (TQ). Variabel independen adalah ekuitas merek diukur dengan menggunakan </w:t>
      </w:r>
      <w:r w:rsidR="00D418D3">
        <w:rPr>
          <w:rFonts w:ascii="Times New Roman" w:eastAsia="Times New Roman" w:hAnsi="Times New Roman" w:cs="Times New Roman"/>
          <w:i/>
          <w:sz w:val="24"/>
          <w:szCs w:val="28"/>
        </w:rPr>
        <w:t xml:space="preserve">brand value, </w:t>
      </w:r>
      <w:r w:rsidR="00D418D3">
        <w:rPr>
          <w:rFonts w:ascii="Times New Roman" w:eastAsia="Times New Roman" w:hAnsi="Times New Roman" w:cs="Times New Roman"/>
          <w:sz w:val="24"/>
          <w:szCs w:val="28"/>
        </w:rPr>
        <w:t xml:space="preserve">struktur modal diukur dengan menggunakan </w:t>
      </w:r>
      <w:r w:rsidR="00D418D3">
        <w:rPr>
          <w:rFonts w:ascii="Times New Roman" w:eastAsia="Times New Roman" w:hAnsi="Times New Roman" w:cs="Times New Roman"/>
          <w:i/>
          <w:sz w:val="24"/>
          <w:szCs w:val="28"/>
        </w:rPr>
        <w:t xml:space="preserve">debt ratio, </w:t>
      </w:r>
      <w:r w:rsidR="00D418D3">
        <w:rPr>
          <w:rFonts w:ascii="Times New Roman" w:eastAsia="Times New Roman" w:hAnsi="Times New Roman" w:cs="Times New Roman"/>
          <w:sz w:val="24"/>
          <w:szCs w:val="28"/>
        </w:rPr>
        <w:t xml:space="preserve"> dan profitabilitas diukur dengan menggunakan </w:t>
      </w:r>
      <w:r w:rsidR="00D418D3">
        <w:rPr>
          <w:rFonts w:ascii="Times New Roman" w:eastAsia="Times New Roman" w:hAnsi="Times New Roman" w:cs="Times New Roman"/>
          <w:i/>
          <w:sz w:val="24"/>
          <w:szCs w:val="28"/>
        </w:rPr>
        <w:t>return on assets.</w:t>
      </w:r>
    </w:p>
    <w:p w:rsidR="00D418D3" w:rsidRDefault="00D418D3" w:rsidP="00B64E16">
      <w:pPr>
        <w:spacing w:after="0" w:line="240" w:lineRule="auto"/>
        <w:jc w:val="both"/>
        <w:rPr>
          <w:rFonts w:ascii="Times New Roman" w:eastAsia="Times New Roman" w:hAnsi="Times New Roman" w:cs="Times New Roman"/>
          <w:sz w:val="24"/>
          <w:szCs w:val="28"/>
        </w:rPr>
      </w:pPr>
    </w:p>
    <w:p w:rsidR="00D418D3" w:rsidRPr="00D418D3" w:rsidRDefault="00D418D3" w:rsidP="00B64E16">
      <w:pPr>
        <w:spacing w:after="0" w:line="240" w:lineRule="auto"/>
        <w:jc w:val="both"/>
        <w:rPr>
          <w:rFonts w:ascii="Times New Roman" w:eastAsia="Times New Roman" w:hAnsi="Times New Roman" w:cs="Times New Roman"/>
          <w:b/>
          <w:sz w:val="24"/>
          <w:szCs w:val="28"/>
        </w:rPr>
      </w:pPr>
      <w:r>
        <w:rPr>
          <w:rFonts w:ascii="Times New Roman" w:eastAsia="Times New Roman" w:hAnsi="Times New Roman" w:cs="Times New Roman"/>
          <w:b/>
          <w:sz w:val="24"/>
          <w:szCs w:val="28"/>
        </w:rPr>
        <w:t>Uji Asumsi Klasik</w:t>
      </w:r>
    </w:p>
    <w:p w:rsidR="004A3287" w:rsidRDefault="004A3287" w:rsidP="00B64E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Sebelum hasil analisis data disajikan secara lengkap, akan terlebih dahulu disajikan hasil uji asumsi klasik untuk memastikan apakah data yang ada layak untuk dianalisis.</w:t>
      </w:r>
    </w:p>
    <w:p w:rsidR="004A3287" w:rsidRDefault="00E711D8" w:rsidP="00B64E16">
      <w:pPr>
        <w:spacing w:after="0" w:line="240" w:lineRule="auto"/>
        <w:jc w:val="both"/>
        <w:rPr>
          <w:rFonts w:ascii="Times New Roman" w:eastAsia="Times New Roman" w:hAnsi="Times New Roman" w:cs="Times New Roman"/>
          <w:sz w:val="24"/>
          <w:szCs w:val="28"/>
        </w:rPr>
      </w:pPr>
      <w:r>
        <w:rPr>
          <w:rFonts w:ascii="Times New Roman" w:eastAsia="Times New Roman" w:hAnsi="Times New Roman" w:cs="Times New Roman"/>
          <w:sz w:val="24"/>
          <w:szCs w:val="28"/>
        </w:rPr>
        <w:t>Uji Normalitas</w:t>
      </w:r>
    </w:p>
    <w:p w:rsidR="00E711D8" w:rsidRDefault="00E711D8" w:rsidP="00B64E16">
      <w:pPr>
        <w:spacing w:after="0" w:line="240" w:lineRule="auto"/>
        <w:jc w:val="both"/>
        <w:rPr>
          <w:rFonts w:ascii="Times New Roman" w:eastAsia="Times New Roman" w:hAnsi="Times New Roman" w:cs="Times New Roman"/>
          <w:bCs/>
          <w:sz w:val="24"/>
          <w:szCs w:val="24"/>
          <w:lang w:eastAsia="id-ID"/>
        </w:rPr>
      </w:pPr>
      <w:r w:rsidRPr="00E711D8">
        <w:rPr>
          <w:rFonts w:ascii="Times New Roman" w:hAnsi="Times New Roman" w:cs="Times New Roman"/>
          <w:iCs/>
          <w:sz w:val="24"/>
          <w:szCs w:val="24"/>
        </w:rPr>
        <w:t xml:space="preserve">Uji normalitas dilakukan untuk mengetahui kenormalan distribusi datanya dilakukan melalui analisis </w:t>
      </w:r>
      <w:r w:rsidRPr="003B121F">
        <w:rPr>
          <w:rFonts w:ascii="Times New Roman" w:eastAsia="Times New Roman" w:hAnsi="Times New Roman" w:cs="Times New Roman"/>
          <w:bCs/>
          <w:sz w:val="24"/>
          <w:szCs w:val="24"/>
          <w:lang w:eastAsia="id-ID"/>
        </w:rPr>
        <w:t>Normal P-P Plot</w:t>
      </w:r>
      <w:r>
        <w:rPr>
          <w:rFonts w:ascii="Times New Roman" w:eastAsia="Times New Roman" w:hAnsi="Times New Roman" w:cs="Times New Roman"/>
          <w:bCs/>
          <w:sz w:val="24"/>
          <w:szCs w:val="24"/>
          <w:lang w:eastAsia="id-ID"/>
        </w:rPr>
        <w:t>. Berdasarkan gambar 1 diketahui bahwa data dalam penelitian ini terdistribusi secara normal karena data menyebar disekitar garis diagonal. Sehingga data yang ada terbebas dari masalah kenormalan distribusi data.</w:t>
      </w:r>
    </w:p>
    <w:p w:rsidR="00E711D8" w:rsidRDefault="00E711D8" w:rsidP="00B64E16">
      <w:pPr>
        <w:spacing w:after="0" w:line="240" w:lineRule="auto"/>
        <w:jc w:val="both"/>
        <w:rPr>
          <w:rFonts w:ascii="Times New Roman" w:eastAsia="Times New Roman" w:hAnsi="Times New Roman" w:cs="Times New Roman"/>
          <w:bCs/>
          <w:sz w:val="24"/>
          <w:szCs w:val="24"/>
          <w:lang w:eastAsia="id-ID"/>
        </w:rPr>
      </w:pPr>
    </w:p>
    <w:p w:rsidR="00E711D8" w:rsidRDefault="00E711D8" w:rsidP="00B64E16">
      <w:pPr>
        <w:spacing w:after="0" w:line="240" w:lineRule="auto"/>
        <w:jc w:val="both"/>
        <w:rPr>
          <w:rFonts w:ascii="Times New Roman" w:hAnsi="Times New Roman" w:cs="Times New Roman"/>
          <w:iCs/>
          <w:sz w:val="24"/>
          <w:szCs w:val="24"/>
        </w:rPr>
      </w:pPr>
      <w:r>
        <w:rPr>
          <w:rFonts w:ascii="Times New Roman" w:hAnsi="Times New Roman" w:cs="Times New Roman"/>
          <w:noProof/>
          <w:sz w:val="24"/>
          <w:szCs w:val="24"/>
          <w:lang w:eastAsia="id-ID"/>
        </w:rPr>
        <w:lastRenderedPageBreak/>
        <w:drawing>
          <wp:inline distT="0" distB="0" distL="0" distR="0" wp14:anchorId="760C24A0" wp14:editId="4AE6039D">
            <wp:extent cx="5731510" cy="337319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373198"/>
                    </a:xfrm>
                    <a:prstGeom prst="rect">
                      <a:avLst/>
                    </a:prstGeom>
                    <a:noFill/>
                    <a:ln>
                      <a:noFill/>
                    </a:ln>
                  </pic:spPr>
                </pic:pic>
              </a:graphicData>
            </a:graphic>
          </wp:inline>
        </w:drawing>
      </w:r>
    </w:p>
    <w:p w:rsidR="00E711D8" w:rsidRDefault="00E711D8" w:rsidP="00B64E1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Gambar 1. Normal P-P Plot of Regression Standardized Residual</w:t>
      </w:r>
    </w:p>
    <w:p w:rsidR="00E711D8" w:rsidRPr="00E711D8" w:rsidRDefault="00E711D8" w:rsidP="00B64E1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Sumber: data diolah</w:t>
      </w:r>
    </w:p>
    <w:p w:rsidR="004A3287" w:rsidRDefault="004A3287" w:rsidP="00B64E16">
      <w:pPr>
        <w:spacing w:after="0" w:line="240" w:lineRule="auto"/>
        <w:jc w:val="both"/>
        <w:rPr>
          <w:rFonts w:ascii="Times New Roman" w:hAnsi="Times New Roman" w:cs="Times New Roman"/>
          <w:iCs/>
          <w:sz w:val="24"/>
          <w:szCs w:val="24"/>
        </w:rPr>
      </w:pPr>
    </w:p>
    <w:p w:rsidR="00E711D8" w:rsidRDefault="00804A56" w:rsidP="00B64E16">
      <w:pPr>
        <w:spacing w:after="0" w:line="240" w:lineRule="auto"/>
        <w:jc w:val="both"/>
        <w:rPr>
          <w:rFonts w:ascii="Times New Roman" w:eastAsia="Times New Roman" w:hAnsi="Times New Roman" w:cs="Times New Roman"/>
          <w:bCs/>
          <w:sz w:val="24"/>
          <w:szCs w:val="24"/>
          <w:lang w:eastAsia="id-ID"/>
        </w:rPr>
      </w:pPr>
      <w:r w:rsidRPr="003B121F">
        <w:rPr>
          <w:rFonts w:ascii="Times New Roman" w:eastAsia="Times New Roman" w:hAnsi="Times New Roman" w:cs="Times New Roman"/>
          <w:bCs/>
          <w:sz w:val="24"/>
          <w:szCs w:val="24"/>
          <w:lang w:eastAsia="id-ID"/>
        </w:rPr>
        <w:t>Uji Multikolinieritas</w:t>
      </w:r>
    </w:p>
    <w:p w:rsidR="00804A56" w:rsidRDefault="00804A56" w:rsidP="00804A56">
      <w:pPr>
        <w:spacing w:after="0" w:line="240" w:lineRule="auto"/>
        <w:jc w:val="both"/>
        <w:rPr>
          <w:rFonts w:ascii="Times New Roman" w:eastAsia="Times New Roman" w:hAnsi="Times New Roman" w:cs="Times New Roman"/>
          <w:bCs/>
          <w:sz w:val="24"/>
          <w:szCs w:val="24"/>
          <w:lang w:eastAsia="id-ID"/>
        </w:rPr>
      </w:pPr>
      <w:r w:rsidRPr="00804A56">
        <w:rPr>
          <w:rFonts w:ascii="Times New Roman" w:eastAsia="Times New Roman" w:hAnsi="Times New Roman" w:cs="Times New Roman"/>
          <w:bCs/>
          <w:sz w:val="24"/>
          <w:szCs w:val="24"/>
          <w:lang w:eastAsia="id-ID"/>
        </w:rPr>
        <w:t xml:space="preserve">Uji multikolinieritas ini untuk menentukan apakah variabel independen terbebas dari masalah multikolinieritas. Korelasi antar variabel independen jika memiliki nilai </w:t>
      </w:r>
      <w:r w:rsidRPr="003B121F">
        <w:rPr>
          <w:rFonts w:ascii="Times New Roman" w:eastAsia="Times New Roman" w:hAnsi="Times New Roman" w:cs="Times New Roman"/>
          <w:bCs/>
          <w:i/>
          <w:iCs/>
          <w:sz w:val="24"/>
          <w:szCs w:val="24"/>
          <w:lang w:eastAsia="id-ID"/>
        </w:rPr>
        <w:t xml:space="preserve">Value Inflation Factor </w:t>
      </w:r>
      <w:r w:rsidRPr="003B121F">
        <w:rPr>
          <w:rFonts w:ascii="Times New Roman" w:eastAsia="Times New Roman" w:hAnsi="Times New Roman" w:cs="Times New Roman"/>
          <w:bCs/>
          <w:sz w:val="24"/>
          <w:szCs w:val="24"/>
          <w:lang w:eastAsia="id-ID"/>
        </w:rPr>
        <w:t>(VIF)</w:t>
      </w:r>
      <w:r>
        <w:rPr>
          <w:rFonts w:ascii="Times New Roman" w:eastAsia="Times New Roman" w:hAnsi="Times New Roman" w:cs="Times New Roman"/>
          <w:bCs/>
          <w:sz w:val="24"/>
          <w:szCs w:val="24"/>
          <w:lang w:eastAsia="id-ID"/>
        </w:rPr>
        <w:t xml:space="preserve"> di atas 10 maka terjadi multikolinieritas.</w:t>
      </w:r>
      <w:r w:rsidR="0031300A">
        <w:rPr>
          <w:rFonts w:ascii="Times New Roman" w:eastAsia="Times New Roman" w:hAnsi="Times New Roman" w:cs="Times New Roman"/>
          <w:bCs/>
          <w:sz w:val="24"/>
          <w:szCs w:val="24"/>
          <w:lang w:eastAsia="id-ID"/>
        </w:rPr>
        <w:t xml:space="preserve"> Berdasarkan tabel 1 maka diketahui bahwa hubungan antar variabel independen terbebas dari masalah multikolinieritas karena memiliki nilai VIF di bawah 10 semuanya.</w:t>
      </w:r>
    </w:p>
    <w:p w:rsidR="0031300A" w:rsidRDefault="0031300A" w:rsidP="00804A56">
      <w:pPr>
        <w:spacing w:after="0" w:line="240" w:lineRule="auto"/>
        <w:jc w:val="both"/>
        <w:rPr>
          <w:rFonts w:ascii="Times New Roman" w:eastAsia="Times New Roman" w:hAnsi="Times New Roman" w:cs="Times New Roman"/>
          <w:bCs/>
          <w:sz w:val="24"/>
          <w:szCs w:val="24"/>
          <w:lang w:eastAsia="id-ID"/>
        </w:rPr>
      </w:pPr>
    </w:p>
    <w:tbl>
      <w:tblPr>
        <w:tblW w:w="2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03"/>
        <w:gridCol w:w="1134"/>
      </w:tblGrid>
      <w:tr w:rsidR="0031300A" w:rsidRPr="000B583B" w:rsidTr="0031300A">
        <w:trPr>
          <w:cantSplit/>
        </w:trPr>
        <w:tc>
          <w:tcPr>
            <w:tcW w:w="2137" w:type="dxa"/>
            <w:gridSpan w:val="2"/>
            <w:tcBorders>
              <w:top w:val="nil"/>
              <w:left w:val="single" w:sz="8" w:space="0" w:color="E0E0E0"/>
              <w:bottom w:val="nil"/>
              <w:right w:val="nil"/>
            </w:tcBorders>
            <w:shd w:val="clear" w:color="auto" w:fill="FFFFFF"/>
            <w:vAlign w:val="bottom"/>
          </w:tcPr>
          <w:p w:rsidR="0031300A" w:rsidRPr="000B583B" w:rsidRDefault="0031300A" w:rsidP="005C616A">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Collinearity Statistics</w:t>
            </w:r>
          </w:p>
        </w:tc>
      </w:tr>
      <w:tr w:rsidR="0031300A" w:rsidRPr="000B583B" w:rsidTr="0031300A">
        <w:trPr>
          <w:cantSplit/>
        </w:trPr>
        <w:tc>
          <w:tcPr>
            <w:tcW w:w="1003" w:type="dxa"/>
            <w:tcBorders>
              <w:top w:val="nil"/>
              <w:left w:val="single" w:sz="8" w:space="0" w:color="E0E0E0"/>
              <w:bottom w:val="single" w:sz="8" w:space="0" w:color="152935"/>
              <w:right w:val="single" w:sz="8" w:space="0" w:color="E0E0E0"/>
            </w:tcBorders>
            <w:shd w:val="clear" w:color="auto" w:fill="FFFFFF"/>
            <w:vAlign w:val="bottom"/>
          </w:tcPr>
          <w:p w:rsidR="0031300A" w:rsidRPr="000B583B" w:rsidRDefault="0031300A" w:rsidP="005C616A">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Tolerance</w:t>
            </w:r>
          </w:p>
        </w:tc>
        <w:tc>
          <w:tcPr>
            <w:tcW w:w="1134" w:type="dxa"/>
            <w:tcBorders>
              <w:top w:val="nil"/>
              <w:left w:val="single" w:sz="8" w:space="0" w:color="E0E0E0"/>
              <w:bottom w:val="single" w:sz="8" w:space="0" w:color="152935"/>
              <w:right w:val="nil"/>
            </w:tcBorders>
            <w:shd w:val="clear" w:color="auto" w:fill="FFFFFF"/>
            <w:vAlign w:val="bottom"/>
          </w:tcPr>
          <w:p w:rsidR="0031300A" w:rsidRPr="000B583B" w:rsidRDefault="0031300A" w:rsidP="005C616A">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VIF</w:t>
            </w:r>
          </w:p>
        </w:tc>
      </w:tr>
      <w:tr w:rsidR="0031300A" w:rsidRPr="000B583B" w:rsidTr="0031300A">
        <w:trPr>
          <w:cantSplit/>
        </w:trPr>
        <w:tc>
          <w:tcPr>
            <w:tcW w:w="1003"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31300A" w:rsidRPr="000B583B" w:rsidRDefault="0031300A" w:rsidP="005C616A">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8" w:space="0" w:color="152935"/>
              <w:left w:val="single" w:sz="8" w:space="0" w:color="E0E0E0"/>
              <w:bottom w:val="single" w:sz="8" w:space="0" w:color="AEAEAE"/>
              <w:right w:val="nil"/>
            </w:tcBorders>
            <w:shd w:val="clear" w:color="auto" w:fill="FFFFFF"/>
            <w:vAlign w:val="center"/>
          </w:tcPr>
          <w:p w:rsidR="0031300A" w:rsidRPr="000B583B" w:rsidRDefault="0031300A" w:rsidP="005C616A">
            <w:pPr>
              <w:autoSpaceDE w:val="0"/>
              <w:autoSpaceDN w:val="0"/>
              <w:adjustRightInd w:val="0"/>
              <w:spacing w:after="0" w:line="240" w:lineRule="auto"/>
              <w:rPr>
                <w:rFonts w:ascii="Times New Roman" w:hAnsi="Times New Roman" w:cs="Times New Roman"/>
                <w:sz w:val="24"/>
                <w:szCs w:val="24"/>
              </w:rPr>
            </w:pPr>
          </w:p>
        </w:tc>
      </w:tr>
      <w:tr w:rsidR="0031300A" w:rsidRPr="000B583B" w:rsidTr="0031300A">
        <w:trPr>
          <w:cantSplit/>
        </w:trPr>
        <w:tc>
          <w:tcPr>
            <w:tcW w:w="1003" w:type="dxa"/>
            <w:tcBorders>
              <w:top w:val="single" w:sz="8" w:space="0" w:color="AEAEAE"/>
              <w:left w:val="single" w:sz="8" w:space="0" w:color="E0E0E0"/>
              <w:bottom w:val="single" w:sz="8" w:space="0" w:color="AEAEAE"/>
              <w:right w:val="single" w:sz="8" w:space="0" w:color="E0E0E0"/>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,964</w:t>
            </w:r>
          </w:p>
        </w:tc>
        <w:tc>
          <w:tcPr>
            <w:tcW w:w="1134" w:type="dxa"/>
            <w:tcBorders>
              <w:top w:val="single" w:sz="8" w:space="0" w:color="AEAEAE"/>
              <w:left w:val="single" w:sz="8" w:space="0" w:color="E0E0E0"/>
              <w:bottom w:val="single" w:sz="8" w:space="0" w:color="AEAEAE"/>
              <w:right w:val="nil"/>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1,037</w:t>
            </w:r>
          </w:p>
        </w:tc>
      </w:tr>
      <w:tr w:rsidR="0031300A" w:rsidRPr="000B583B" w:rsidTr="0031300A">
        <w:trPr>
          <w:cantSplit/>
        </w:trPr>
        <w:tc>
          <w:tcPr>
            <w:tcW w:w="1003" w:type="dxa"/>
            <w:tcBorders>
              <w:top w:val="single" w:sz="8" w:space="0" w:color="AEAEAE"/>
              <w:left w:val="single" w:sz="8" w:space="0" w:color="E0E0E0"/>
              <w:bottom w:val="single" w:sz="8" w:space="0" w:color="AEAEAE"/>
              <w:right w:val="single" w:sz="8" w:space="0" w:color="E0E0E0"/>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,984</w:t>
            </w:r>
          </w:p>
        </w:tc>
        <w:tc>
          <w:tcPr>
            <w:tcW w:w="1134" w:type="dxa"/>
            <w:tcBorders>
              <w:top w:val="single" w:sz="8" w:space="0" w:color="AEAEAE"/>
              <w:left w:val="single" w:sz="8" w:space="0" w:color="E0E0E0"/>
              <w:bottom w:val="single" w:sz="8" w:space="0" w:color="AEAEAE"/>
              <w:right w:val="nil"/>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1,016</w:t>
            </w:r>
          </w:p>
        </w:tc>
      </w:tr>
      <w:tr w:rsidR="0031300A" w:rsidRPr="000B583B" w:rsidTr="0031300A">
        <w:trPr>
          <w:cantSplit/>
        </w:trPr>
        <w:tc>
          <w:tcPr>
            <w:tcW w:w="1003" w:type="dxa"/>
            <w:tcBorders>
              <w:top w:val="single" w:sz="8" w:space="0" w:color="AEAEAE"/>
              <w:left w:val="single" w:sz="8" w:space="0" w:color="E0E0E0"/>
              <w:bottom w:val="single" w:sz="8" w:space="0" w:color="152935"/>
              <w:right w:val="single" w:sz="8" w:space="0" w:color="E0E0E0"/>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,970</w:t>
            </w:r>
          </w:p>
        </w:tc>
        <w:tc>
          <w:tcPr>
            <w:tcW w:w="1134" w:type="dxa"/>
            <w:tcBorders>
              <w:top w:val="single" w:sz="8" w:space="0" w:color="AEAEAE"/>
              <w:left w:val="single" w:sz="8" w:space="0" w:color="E0E0E0"/>
              <w:bottom w:val="single" w:sz="8" w:space="0" w:color="152935"/>
              <w:right w:val="nil"/>
            </w:tcBorders>
            <w:shd w:val="clear" w:color="auto" w:fill="FFFFFF"/>
          </w:tcPr>
          <w:p w:rsidR="0031300A" w:rsidRPr="000B583B" w:rsidRDefault="0031300A" w:rsidP="005C616A">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1,031</w:t>
            </w:r>
          </w:p>
        </w:tc>
      </w:tr>
    </w:tbl>
    <w:p w:rsidR="0031300A" w:rsidRDefault="0031300A" w:rsidP="00804A56">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Tabel 1. Uji Multikolinieritas</w:t>
      </w:r>
    </w:p>
    <w:p w:rsidR="0031300A" w:rsidRDefault="0031300A" w:rsidP="00804A56">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Sumber: data diolah</w:t>
      </w:r>
    </w:p>
    <w:p w:rsidR="00B74E45" w:rsidRDefault="00B74E45" w:rsidP="00804A56">
      <w:pPr>
        <w:spacing w:after="0" w:line="240" w:lineRule="auto"/>
        <w:jc w:val="both"/>
        <w:rPr>
          <w:rFonts w:ascii="Times New Roman" w:eastAsia="Times New Roman" w:hAnsi="Times New Roman" w:cs="Times New Roman"/>
          <w:bCs/>
          <w:sz w:val="24"/>
          <w:szCs w:val="24"/>
          <w:lang w:eastAsia="id-ID"/>
        </w:rPr>
      </w:pPr>
    </w:p>
    <w:p w:rsidR="00B74E45" w:rsidRPr="000524F0" w:rsidRDefault="000524F0" w:rsidP="00804A56">
      <w:pPr>
        <w:spacing w:after="0" w:line="240" w:lineRule="auto"/>
        <w:jc w:val="both"/>
        <w:rPr>
          <w:rFonts w:ascii="Times New Roman" w:eastAsia="Times New Roman" w:hAnsi="Times New Roman" w:cs="Times New Roman"/>
          <w:bCs/>
          <w:sz w:val="24"/>
          <w:szCs w:val="24"/>
          <w:lang w:eastAsia="id-ID"/>
        </w:rPr>
      </w:pPr>
      <w:r w:rsidRPr="003B121F">
        <w:rPr>
          <w:rFonts w:ascii="Times New Roman" w:eastAsia="Times New Roman" w:hAnsi="Times New Roman" w:cs="Times New Roman"/>
          <w:bCs/>
          <w:sz w:val="24"/>
          <w:szCs w:val="24"/>
          <w:lang w:eastAsia="id-ID"/>
        </w:rPr>
        <w:t>Uji Heteroskedastisitas</w:t>
      </w:r>
    </w:p>
    <w:p w:rsidR="00804A56" w:rsidRPr="001A139B" w:rsidRDefault="00B675BE" w:rsidP="00B64E16">
      <w:pPr>
        <w:spacing w:after="0" w:line="240" w:lineRule="auto"/>
        <w:jc w:val="both"/>
        <w:rPr>
          <w:rFonts w:ascii="Times New Roman" w:eastAsia="Times New Roman" w:hAnsi="Times New Roman" w:cs="Times New Roman"/>
          <w:bCs/>
          <w:sz w:val="24"/>
          <w:szCs w:val="24"/>
          <w:lang w:eastAsia="id-ID"/>
        </w:rPr>
      </w:pPr>
      <w:r w:rsidRPr="001A139B">
        <w:rPr>
          <w:rFonts w:ascii="Times New Roman" w:hAnsi="Times New Roman" w:cs="Times New Roman"/>
          <w:iCs/>
          <w:sz w:val="24"/>
          <w:szCs w:val="24"/>
        </w:rPr>
        <w:t>Uji heteroskedastisitas ini untuk mengetahui apakah variabel pengganggu mempunyai varian yang sama atau tidak.</w:t>
      </w:r>
      <w:r w:rsidR="002C1846" w:rsidRPr="001A139B">
        <w:rPr>
          <w:rFonts w:ascii="Times New Roman" w:hAnsi="Times New Roman" w:cs="Times New Roman"/>
          <w:iCs/>
          <w:sz w:val="24"/>
          <w:szCs w:val="24"/>
        </w:rPr>
        <w:t xml:space="preserve"> Uji heteroskedastisitas dilakukan dengan menganalisis gambar </w:t>
      </w:r>
      <w:r w:rsidR="002C1846" w:rsidRPr="003B121F">
        <w:rPr>
          <w:rFonts w:ascii="Times New Roman" w:eastAsia="Times New Roman" w:hAnsi="Times New Roman" w:cs="Times New Roman"/>
          <w:bCs/>
          <w:sz w:val="24"/>
          <w:szCs w:val="24"/>
          <w:lang w:eastAsia="id-ID"/>
        </w:rPr>
        <w:t>Scatterplot</w:t>
      </w:r>
      <w:r w:rsidR="002C1846" w:rsidRPr="001A139B">
        <w:rPr>
          <w:rFonts w:ascii="Times New Roman" w:eastAsia="Times New Roman" w:hAnsi="Times New Roman" w:cs="Times New Roman"/>
          <w:bCs/>
          <w:sz w:val="24"/>
          <w:szCs w:val="24"/>
          <w:lang w:eastAsia="id-ID"/>
        </w:rPr>
        <w:t>. Berdasarkan gambar 2 maka diketahui bahwa penelitian ini terbebas dari masalah heteroskastisitas</w:t>
      </w:r>
      <w:r w:rsidR="001A139B" w:rsidRPr="001A139B">
        <w:rPr>
          <w:rFonts w:ascii="Times New Roman" w:eastAsia="Times New Roman" w:hAnsi="Times New Roman" w:cs="Times New Roman"/>
          <w:bCs/>
          <w:sz w:val="24"/>
          <w:szCs w:val="24"/>
          <w:lang w:eastAsia="id-ID"/>
        </w:rPr>
        <w:t xml:space="preserve"> karena </w:t>
      </w:r>
      <w:r w:rsidR="001A139B" w:rsidRPr="003B121F">
        <w:rPr>
          <w:rFonts w:ascii="Times New Roman" w:eastAsia="Times New Roman" w:hAnsi="Times New Roman" w:cs="Times New Roman"/>
          <w:bCs/>
          <w:sz w:val="24"/>
          <w:szCs w:val="24"/>
          <w:lang w:eastAsia="id-ID"/>
        </w:rPr>
        <w:t>tidak ada pola yang jelas serta titik-titik menyebar di atas dan di bawah angka 0 pada sumbu Y</w:t>
      </w:r>
      <w:r w:rsidR="001A139B" w:rsidRPr="001A139B">
        <w:rPr>
          <w:rFonts w:ascii="Times New Roman" w:eastAsia="Times New Roman" w:hAnsi="Times New Roman" w:cs="Times New Roman"/>
          <w:bCs/>
          <w:sz w:val="24"/>
          <w:szCs w:val="24"/>
          <w:lang w:eastAsia="id-ID"/>
        </w:rPr>
        <w:t>.</w:t>
      </w:r>
    </w:p>
    <w:p w:rsidR="002C1846" w:rsidRDefault="002C1846" w:rsidP="00B64E16">
      <w:pPr>
        <w:spacing w:after="0" w:line="240" w:lineRule="auto"/>
        <w:jc w:val="both"/>
        <w:rPr>
          <w:rFonts w:ascii="Times New Roman" w:eastAsia="Times New Roman" w:hAnsi="Times New Roman" w:cs="Times New Roman"/>
          <w:bCs/>
          <w:sz w:val="24"/>
          <w:szCs w:val="24"/>
          <w:lang w:eastAsia="id-ID"/>
        </w:rPr>
      </w:pPr>
      <w:r>
        <w:rPr>
          <w:rFonts w:ascii="Times New Roman" w:hAnsi="Times New Roman" w:cs="Times New Roman"/>
          <w:noProof/>
          <w:sz w:val="24"/>
          <w:szCs w:val="24"/>
          <w:lang w:eastAsia="id-ID"/>
        </w:rPr>
        <w:lastRenderedPageBreak/>
        <w:drawing>
          <wp:inline distT="0" distB="0" distL="0" distR="0" wp14:anchorId="1C544329" wp14:editId="67A143E6">
            <wp:extent cx="4834393" cy="284521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33968" cy="2844962"/>
                    </a:xfrm>
                    <a:prstGeom prst="rect">
                      <a:avLst/>
                    </a:prstGeom>
                    <a:noFill/>
                    <a:ln>
                      <a:noFill/>
                    </a:ln>
                  </pic:spPr>
                </pic:pic>
              </a:graphicData>
            </a:graphic>
          </wp:inline>
        </w:drawing>
      </w:r>
    </w:p>
    <w:p w:rsidR="002C1846" w:rsidRDefault="002C1846" w:rsidP="00B64E16">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Gambar 2. Scatterplot</w:t>
      </w:r>
    </w:p>
    <w:p w:rsidR="001A139B" w:rsidRDefault="001A139B" w:rsidP="00B64E16">
      <w:pPr>
        <w:spacing w:after="0" w:line="240" w:lineRule="auto"/>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Sumber: data diolah</w:t>
      </w:r>
    </w:p>
    <w:p w:rsidR="001A139B" w:rsidRDefault="001A139B" w:rsidP="00B64E16">
      <w:pPr>
        <w:spacing w:after="0" w:line="240" w:lineRule="auto"/>
        <w:jc w:val="both"/>
        <w:rPr>
          <w:rFonts w:ascii="Times New Roman" w:eastAsia="Times New Roman" w:hAnsi="Times New Roman" w:cs="Times New Roman"/>
          <w:bCs/>
          <w:sz w:val="24"/>
          <w:szCs w:val="24"/>
          <w:lang w:eastAsia="id-ID"/>
        </w:rPr>
      </w:pPr>
    </w:p>
    <w:p w:rsidR="006259DC" w:rsidRPr="006259DC" w:rsidRDefault="006259DC" w:rsidP="00B64E16">
      <w:pPr>
        <w:spacing w:after="0" w:line="240" w:lineRule="auto"/>
        <w:jc w:val="both"/>
        <w:rPr>
          <w:rFonts w:ascii="Times New Roman" w:eastAsia="Times New Roman" w:hAnsi="Times New Roman" w:cs="Times New Roman"/>
          <w:bCs/>
          <w:sz w:val="24"/>
          <w:szCs w:val="24"/>
          <w:lang w:eastAsia="id-ID"/>
        </w:rPr>
      </w:pPr>
      <w:r w:rsidRPr="003B121F">
        <w:rPr>
          <w:rFonts w:ascii="Times New Roman" w:eastAsia="Times New Roman" w:hAnsi="Times New Roman" w:cs="Times New Roman"/>
          <w:bCs/>
          <w:sz w:val="24"/>
          <w:szCs w:val="24"/>
          <w:lang w:eastAsia="id-ID"/>
        </w:rPr>
        <w:t xml:space="preserve">Uji </w:t>
      </w:r>
      <w:r w:rsidRPr="006259DC">
        <w:rPr>
          <w:rFonts w:ascii="Times New Roman" w:eastAsia="Times New Roman" w:hAnsi="Times New Roman" w:cs="Times New Roman"/>
          <w:bCs/>
          <w:sz w:val="24"/>
          <w:szCs w:val="24"/>
          <w:lang w:eastAsia="id-ID"/>
        </w:rPr>
        <w:t>A</w:t>
      </w:r>
      <w:r w:rsidRPr="003B121F">
        <w:rPr>
          <w:rFonts w:ascii="Times New Roman" w:eastAsia="Times New Roman" w:hAnsi="Times New Roman" w:cs="Times New Roman"/>
          <w:bCs/>
          <w:sz w:val="24"/>
          <w:szCs w:val="24"/>
          <w:lang w:eastAsia="id-ID"/>
        </w:rPr>
        <w:t xml:space="preserve">utokorelasi </w:t>
      </w:r>
    </w:p>
    <w:p w:rsidR="001A139B" w:rsidRDefault="006259DC" w:rsidP="00B64E16">
      <w:pPr>
        <w:spacing w:after="0" w:line="240" w:lineRule="auto"/>
        <w:jc w:val="both"/>
        <w:rPr>
          <w:rFonts w:ascii="Times New Roman" w:eastAsia="Times New Roman" w:hAnsi="Times New Roman" w:cs="Times New Roman"/>
          <w:bCs/>
          <w:sz w:val="24"/>
          <w:szCs w:val="24"/>
          <w:lang w:eastAsia="id-ID"/>
        </w:rPr>
      </w:pPr>
      <w:r w:rsidRPr="003B121F">
        <w:rPr>
          <w:rFonts w:ascii="Times New Roman" w:eastAsia="Times New Roman" w:hAnsi="Times New Roman" w:cs="Times New Roman"/>
          <w:bCs/>
          <w:sz w:val="24"/>
          <w:szCs w:val="24"/>
          <w:lang w:eastAsia="id-ID"/>
        </w:rPr>
        <w:t xml:space="preserve">Uji autokorelasi </w:t>
      </w:r>
      <w:r>
        <w:rPr>
          <w:rFonts w:ascii="Times New Roman" w:eastAsia="Times New Roman" w:hAnsi="Times New Roman" w:cs="Times New Roman"/>
          <w:bCs/>
          <w:sz w:val="24"/>
          <w:szCs w:val="24"/>
          <w:lang w:eastAsia="id-ID"/>
        </w:rPr>
        <w:t xml:space="preserve">dilakukan untuk  mengetahui apakah </w:t>
      </w:r>
      <w:r w:rsidRPr="003B121F">
        <w:rPr>
          <w:rFonts w:ascii="Times New Roman" w:eastAsia="Times New Roman" w:hAnsi="Times New Roman" w:cs="Times New Roman"/>
          <w:bCs/>
          <w:sz w:val="24"/>
          <w:szCs w:val="24"/>
          <w:lang w:eastAsia="id-ID"/>
        </w:rPr>
        <w:t>variabel dependen tidak berkorelasi dengan dirinya sendiri.</w:t>
      </w:r>
      <w:r>
        <w:rPr>
          <w:rFonts w:ascii="Times New Roman" w:eastAsia="Times New Roman" w:hAnsi="Times New Roman" w:cs="Times New Roman"/>
          <w:bCs/>
          <w:sz w:val="24"/>
          <w:szCs w:val="24"/>
          <w:lang w:eastAsia="id-ID"/>
        </w:rPr>
        <w:t xml:space="preserve"> </w:t>
      </w:r>
      <w:r w:rsidR="00D147BC" w:rsidRPr="003B121F">
        <w:rPr>
          <w:rFonts w:ascii="Times New Roman" w:eastAsia="Times New Roman" w:hAnsi="Times New Roman" w:cs="Times New Roman"/>
          <w:bCs/>
          <w:sz w:val="24"/>
          <w:szCs w:val="24"/>
          <w:lang w:eastAsia="id-ID"/>
        </w:rPr>
        <w:t xml:space="preserve">Uji autokorelasi </w:t>
      </w:r>
      <w:r w:rsidR="00D147BC">
        <w:rPr>
          <w:rFonts w:ascii="Times New Roman" w:eastAsia="Times New Roman" w:hAnsi="Times New Roman" w:cs="Times New Roman"/>
          <w:bCs/>
          <w:sz w:val="24"/>
          <w:szCs w:val="24"/>
          <w:lang w:eastAsia="id-ID"/>
        </w:rPr>
        <w:t>dilakukan</w:t>
      </w:r>
      <w:r w:rsidR="00D147BC">
        <w:rPr>
          <w:rFonts w:ascii="Times New Roman" w:eastAsia="Times New Roman" w:hAnsi="Times New Roman" w:cs="Times New Roman"/>
          <w:bCs/>
          <w:sz w:val="24"/>
          <w:szCs w:val="24"/>
          <w:lang w:eastAsia="id-ID"/>
        </w:rPr>
        <w:t xml:space="preserve"> dengan menganalisis nilai </w:t>
      </w:r>
      <w:r w:rsidR="00D147BC" w:rsidRPr="00D147BC">
        <w:rPr>
          <w:rFonts w:ascii="Times New Roman" w:hAnsi="Times New Roman" w:cs="Times New Roman"/>
          <w:sz w:val="24"/>
          <w:szCs w:val="24"/>
        </w:rPr>
        <w:t>Durbin-Watson</w:t>
      </w:r>
      <w:r w:rsidR="00D147BC">
        <w:rPr>
          <w:rFonts w:ascii="Times New Roman" w:hAnsi="Times New Roman" w:cs="Times New Roman"/>
          <w:sz w:val="24"/>
          <w:szCs w:val="24"/>
        </w:rPr>
        <w:t xml:space="preserve"> (DW). Berdasarkan tabel 2 diketahui bahwa variabel dependen bebas dari masalah autokorelasi </w:t>
      </w:r>
      <w:r w:rsidR="00543000">
        <w:rPr>
          <w:rFonts w:ascii="Times New Roman" w:hAnsi="Times New Roman" w:cs="Times New Roman"/>
          <w:sz w:val="24"/>
          <w:szCs w:val="24"/>
        </w:rPr>
        <w:t>karena memiliki nilai DW diantara -2 sampai 2.</w:t>
      </w:r>
    </w:p>
    <w:tbl>
      <w:tblPr>
        <w:tblW w:w="149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43"/>
        <w:gridCol w:w="1211"/>
        <w:gridCol w:w="1638"/>
        <w:gridCol w:w="1638"/>
        <w:gridCol w:w="1638"/>
        <w:gridCol w:w="6807"/>
      </w:tblGrid>
      <w:tr w:rsidR="00B564D7" w:rsidRPr="000B583B" w:rsidTr="00B564D7">
        <w:trPr>
          <w:cantSplit/>
        </w:trPr>
        <w:tc>
          <w:tcPr>
            <w:tcW w:w="14962" w:type="dxa"/>
            <w:gridSpan w:val="7"/>
            <w:tcBorders>
              <w:top w:val="nil"/>
              <w:left w:val="nil"/>
              <w:bottom w:val="nil"/>
              <w:right w:val="nil"/>
            </w:tcBorders>
            <w:shd w:val="clear" w:color="auto" w:fill="FFFFFF"/>
            <w:vAlign w:val="center"/>
          </w:tcPr>
          <w:p w:rsidR="00B564D7" w:rsidRPr="00B564D7" w:rsidRDefault="00B564D7" w:rsidP="00B564D7">
            <w:pPr>
              <w:autoSpaceDE w:val="0"/>
              <w:autoSpaceDN w:val="0"/>
              <w:adjustRightInd w:val="0"/>
              <w:spacing w:after="0" w:line="320" w:lineRule="atLeast"/>
              <w:ind w:left="60" w:right="60"/>
              <w:rPr>
                <w:rFonts w:ascii="Arial" w:hAnsi="Arial" w:cs="Arial"/>
                <w:b/>
                <w:bCs/>
                <w:color w:val="010205"/>
              </w:rPr>
            </w:pPr>
            <w:r>
              <w:rPr>
                <w:rFonts w:ascii="Arial" w:hAnsi="Arial" w:cs="Arial"/>
                <w:b/>
                <w:bCs/>
                <w:color w:val="010205"/>
              </w:rPr>
              <w:t xml:space="preserve">                                                    </w:t>
            </w:r>
            <w:r w:rsidRPr="000B583B">
              <w:rPr>
                <w:rFonts w:ascii="Arial" w:hAnsi="Arial" w:cs="Arial"/>
                <w:b/>
                <w:bCs/>
                <w:color w:val="010205"/>
              </w:rPr>
              <w:t>Model Summary</w:t>
            </w:r>
            <w:r w:rsidRPr="00B564D7">
              <w:rPr>
                <w:rFonts w:ascii="Arial" w:hAnsi="Arial" w:cs="Arial"/>
                <w:b/>
                <w:bCs/>
                <w:color w:val="010205"/>
                <w:vertAlign w:val="superscript"/>
              </w:rPr>
              <w:t>b</w:t>
            </w:r>
          </w:p>
        </w:tc>
      </w:tr>
      <w:tr w:rsidR="00B564D7" w:rsidRPr="000B583B" w:rsidTr="00242B48">
        <w:trPr>
          <w:gridAfter w:val="2"/>
          <w:wAfter w:w="8445" w:type="dxa"/>
          <w:cantSplit/>
        </w:trPr>
        <w:tc>
          <w:tcPr>
            <w:tcW w:w="887" w:type="dxa"/>
            <w:vMerge w:val="restart"/>
            <w:tcBorders>
              <w:top w:val="nil"/>
              <w:left w:val="nil"/>
              <w:bottom w:val="nil"/>
              <w:right w:val="nil"/>
            </w:tcBorders>
            <w:shd w:val="clear" w:color="auto" w:fill="FFFFFF"/>
            <w:vAlign w:val="bottom"/>
          </w:tcPr>
          <w:p w:rsidR="00B564D7" w:rsidRPr="000B583B" w:rsidRDefault="00B564D7"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Model</w:t>
            </w:r>
          </w:p>
        </w:tc>
        <w:tc>
          <w:tcPr>
            <w:tcW w:w="1143" w:type="dxa"/>
            <w:vMerge w:val="restart"/>
            <w:tcBorders>
              <w:top w:val="nil"/>
              <w:left w:val="nil"/>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R</w:t>
            </w:r>
          </w:p>
        </w:tc>
        <w:tc>
          <w:tcPr>
            <w:tcW w:w="1211" w:type="dxa"/>
            <w:vMerge w:val="restart"/>
            <w:tcBorders>
              <w:top w:val="nil"/>
              <w:left w:val="single" w:sz="8" w:space="0" w:color="E0E0E0"/>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R Square</w:t>
            </w:r>
          </w:p>
        </w:tc>
        <w:tc>
          <w:tcPr>
            <w:tcW w:w="1638" w:type="dxa"/>
            <w:vMerge w:val="restart"/>
            <w:tcBorders>
              <w:top w:val="nil"/>
              <w:left w:val="single" w:sz="8" w:space="0" w:color="E0E0E0"/>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Adjusted R Square</w:t>
            </w:r>
          </w:p>
        </w:tc>
        <w:tc>
          <w:tcPr>
            <w:tcW w:w="1638" w:type="dxa"/>
            <w:tcBorders>
              <w:top w:val="nil"/>
              <w:left w:val="single" w:sz="8" w:space="0" w:color="E0E0E0"/>
              <w:bottom w:val="nil"/>
              <w:right w:val="nil"/>
            </w:tcBorders>
            <w:shd w:val="clear" w:color="auto" w:fill="FFFFFF"/>
            <w:vAlign w:val="bottom"/>
          </w:tcPr>
          <w:p w:rsidR="00B564D7" w:rsidRPr="000B583B" w:rsidRDefault="00B564D7" w:rsidP="00242B48">
            <w:pPr>
              <w:autoSpaceDE w:val="0"/>
              <w:autoSpaceDN w:val="0"/>
              <w:adjustRightInd w:val="0"/>
              <w:spacing w:after="0" w:line="320" w:lineRule="atLeast"/>
              <w:ind w:left="60" w:right="60"/>
              <w:jc w:val="center"/>
              <w:rPr>
                <w:rFonts w:ascii="Arial" w:hAnsi="Arial" w:cs="Arial"/>
                <w:color w:val="264A60"/>
                <w:sz w:val="18"/>
                <w:szCs w:val="18"/>
              </w:rPr>
            </w:pPr>
          </w:p>
        </w:tc>
      </w:tr>
      <w:tr w:rsidR="00B564D7" w:rsidRPr="000B583B" w:rsidTr="00242B48">
        <w:trPr>
          <w:gridAfter w:val="1"/>
          <w:wAfter w:w="6807" w:type="dxa"/>
          <w:cantSplit/>
        </w:trPr>
        <w:tc>
          <w:tcPr>
            <w:tcW w:w="887" w:type="dxa"/>
            <w:vMerge/>
            <w:tcBorders>
              <w:top w:val="nil"/>
              <w:left w:val="nil"/>
              <w:bottom w:val="nil"/>
              <w:right w:val="nil"/>
            </w:tcBorders>
            <w:shd w:val="clear" w:color="auto" w:fill="FFFFFF"/>
            <w:vAlign w:val="bottom"/>
          </w:tcPr>
          <w:p w:rsidR="00B564D7" w:rsidRPr="000B583B" w:rsidRDefault="00B564D7" w:rsidP="00242B48">
            <w:pPr>
              <w:autoSpaceDE w:val="0"/>
              <w:autoSpaceDN w:val="0"/>
              <w:adjustRightInd w:val="0"/>
              <w:spacing w:after="0" w:line="240" w:lineRule="auto"/>
              <w:ind w:left="60"/>
              <w:rPr>
                <w:rFonts w:ascii="Arial" w:hAnsi="Arial" w:cs="Arial"/>
                <w:color w:val="264A60"/>
                <w:sz w:val="18"/>
                <w:szCs w:val="18"/>
              </w:rPr>
            </w:pPr>
          </w:p>
        </w:tc>
        <w:tc>
          <w:tcPr>
            <w:tcW w:w="1143" w:type="dxa"/>
            <w:vMerge/>
            <w:tcBorders>
              <w:top w:val="nil"/>
              <w:left w:val="nil"/>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240" w:lineRule="auto"/>
              <w:ind w:left="60"/>
              <w:rPr>
                <w:rFonts w:ascii="Arial" w:hAnsi="Arial" w:cs="Arial"/>
                <w:color w:val="264A60"/>
                <w:sz w:val="18"/>
                <w:szCs w:val="18"/>
              </w:rPr>
            </w:pPr>
          </w:p>
        </w:tc>
        <w:tc>
          <w:tcPr>
            <w:tcW w:w="1211" w:type="dxa"/>
            <w:vMerge/>
            <w:tcBorders>
              <w:top w:val="nil"/>
              <w:left w:val="single" w:sz="8" w:space="0" w:color="E0E0E0"/>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240" w:lineRule="auto"/>
              <w:ind w:left="60"/>
              <w:rPr>
                <w:rFonts w:ascii="Arial" w:hAnsi="Arial" w:cs="Arial"/>
                <w:color w:val="264A60"/>
                <w:sz w:val="18"/>
                <w:szCs w:val="18"/>
              </w:rPr>
            </w:pPr>
          </w:p>
        </w:tc>
        <w:tc>
          <w:tcPr>
            <w:tcW w:w="1638" w:type="dxa"/>
            <w:vMerge/>
            <w:tcBorders>
              <w:top w:val="nil"/>
              <w:left w:val="single" w:sz="8" w:space="0" w:color="E0E0E0"/>
              <w:bottom w:val="nil"/>
              <w:right w:val="single" w:sz="8" w:space="0" w:color="E0E0E0"/>
            </w:tcBorders>
            <w:shd w:val="clear" w:color="auto" w:fill="FFFFFF"/>
            <w:vAlign w:val="bottom"/>
          </w:tcPr>
          <w:p w:rsidR="00B564D7" w:rsidRPr="000B583B" w:rsidRDefault="00B564D7" w:rsidP="00242B48">
            <w:pPr>
              <w:autoSpaceDE w:val="0"/>
              <w:autoSpaceDN w:val="0"/>
              <w:adjustRightInd w:val="0"/>
              <w:spacing w:after="0" w:line="240" w:lineRule="auto"/>
              <w:ind w:left="60"/>
              <w:rPr>
                <w:rFonts w:ascii="Arial" w:hAnsi="Arial" w:cs="Arial"/>
                <w:color w:val="264A60"/>
                <w:sz w:val="18"/>
                <w:szCs w:val="18"/>
              </w:rPr>
            </w:pPr>
          </w:p>
        </w:tc>
        <w:tc>
          <w:tcPr>
            <w:tcW w:w="1638" w:type="dxa"/>
            <w:tcBorders>
              <w:top w:val="nil"/>
              <w:left w:val="single" w:sz="8" w:space="0" w:color="E0E0E0"/>
              <w:bottom w:val="single" w:sz="8" w:space="0" w:color="152935"/>
              <w:right w:val="single" w:sz="8" w:space="0" w:color="E0E0E0"/>
            </w:tcBorders>
            <w:shd w:val="clear" w:color="auto" w:fill="FFFFFF"/>
            <w:vAlign w:val="bottom"/>
          </w:tcPr>
          <w:p w:rsidR="00B564D7" w:rsidRPr="000B583B" w:rsidRDefault="00B564D7"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Sig. F Change</w:t>
            </w:r>
          </w:p>
        </w:tc>
        <w:tc>
          <w:tcPr>
            <w:tcW w:w="1638" w:type="dxa"/>
            <w:tcBorders>
              <w:top w:val="nil"/>
              <w:left w:val="single" w:sz="8" w:space="0" w:color="E0E0E0"/>
              <w:bottom w:val="nil"/>
              <w:right w:val="nil"/>
            </w:tcBorders>
            <w:shd w:val="clear" w:color="auto" w:fill="FFFFFF"/>
            <w:vAlign w:val="bottom"/>
          </w:tcPr>
          <w:p w:rsidR="00B564D7" w:rsidRPr="000B583B" w:rsidRDefault="00B564D7" w:rsidP="00242B48">
            <w:pPr>
              <w:autoSpaceDE w:val="0"/>
              <w:autoSpaceDN w:val="0"/>
              <w:adjustRightInd w:val="0"/>
              <w:spacing w:after="0" w:line="240" w:lineRule="auto"/>
              <w:ind w:left="60"/>
              <w:jc w:val="center"/>
              <w:rPr>
                <w:rFonts w:ascii="Arial" w:hAnsi="Arial" w:cs="Arial"/>
                <w:color w:val="264A60"/>
                <w:sz w:val="18"/>
                <w:szCs w:val="18"/>
              </w:rPr>
            </w:pPr>
            <w:r w:rsidRPr="000B583B">
              <w:rPr>
                <w:rFonts w:ascii="Arial" w:hAnsi="Arial" w:cs="Arial"/>
                <w:color w:val="264A60"/>
                <w:sz w:val="18"/>
                <w:szCs w:val="18"/>
              </w:rPr>
              <w:t>Durbin-Watson</w:t>
            </w:r>
          </w:p>
        </w:tc>
      </w:tr>
      <w:tr w:rsidR="00B564D7" w:rsidRPr="000B583B" w:rsidTr="00242B48">
        <w:trPr>
          <w:gridAfter w:val="1"/>
          <w:wAfter w:w="6807" w:type="dxa"/>
          <w:cantSplit/>
        </w:trPr>
        <w:tc>
          <w:tcPr>
            <w:tcW w:w="887" w:type="dxa"/>
            <w:tcBorders>
              <w:top w:val="single" w:sz="8" w:space="0" w:color="152935"/>
              <w:left w:val="nil"/>
              <w:bottom w:val="single" w:sz="8" w:space="0" w:color="152935"/>
              <w:right w:val="nil"/>
            </w:tcBorders>
            <w:shd w:val="clear" w:color="auto" w:fill="E0E0E0"/>
          </w:tcPr>
          <w:p w:rsidR="00B564D7" w:rsidRPr="000B583B" w:rsidRDefault="00B564D7"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1</w:t>
            </w:r>
          </w:p>
        </w:tc>
        <w:tc>
          <w:tcPr>
            <w:tcW w:w="1143" w:type="dxa"/>
            <w:tcBorders>
              <w:top w:val="single" w:sz="8" w:space="0" w:color="152935"/>
              <w:left w:val="nil"/>
              <w:bottom w:val="single" w:sz="8" w:space="0" w:color="152935"/>
              <w:right w:val="single" w:sz="8" w:space="0" w:color="E0E0E0"/>
            </w:tcBorders>
            <w:shd w:val="clear" w:color="auto" w:fill="FFFFFF"/>
          </w:tcPr>
          <w:p w:rsidR="00B564D7" w:rsidRPr="000B583B" w:rsidRDefault="00B564D7"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,664</w:t>
            </w:r>
            <w:r w:rsidRPr="000B583B">
              <w:rPr>
                <w:rFonts w:ascii="Arial" w:hAnsi="Arial" w:cs="Arial"/>
                <w:color w:val="010205"/>
                <w:sz w:val="18"/>
                <w:szCs w:val="18"/>
                <w:vertAlign w:val="superscript"/>
              </w:rPr>
              <w:t>a</w:t>
            </w:r>
          </w:p>
        </w:tc>
        <w:tc>
          <w:tcPr>
            <w:tcW w:w="1211" w:type="dxa"/>
            <w:tcBorders>
              <w:top w:val="single" w:sz="8" w:space="0" w:color="152935"/>
              <w:left w:val="single" w:sz="8" w:space="0" w:color="E0E0E0"/>
              <w:bottom w:val="single" w:sz="8" w:space="0" w:color="152935"/>
              <w:right w:val="single" w:sz="8" w:space="0" w:color="E0E0E0"/>
            </w:tcBorders>
            <w:shd w:val="clear" w:color="auto" w:fill="FFFFFF"/>
          </w:tcPr>
          <w:p w:rsidR="00B564D7" w:rsidRPr="000B583B" w:rsidRDefault="00B564D7"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,441</w:t>
            </w:r>
          </w:p>
        </w:tc>
        <w:tc>
          <w:tcPr>
            <w:tcW w:w="1638" w:type="dxa"/>
            <w:tcBorders>
              <w:top w:val="single" w:sz="8" w:space="0" w:color="152935"/>
              <w:left w:val="single" w:sz="8" w:space="0" w:color="E0E0E0"/>
              <w:bottom w:val="single" w:sz="8" w:space="0" w:color="152935"/>
              <w:right w:val="single" w:sz="8" w:space="0" w:color="E0E0E0"/>
            </w:tcBorders>
            <w:shd w:val="clear" w:color="auto" w:fill="FFFFFF"/>
          </w:tcPr>
          <w:p w:rsidR="00B564D7" w:rsidRPr="000B583B" w:rsidRDefault="00B564D7"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,427</w:t>
            </w:r>
          </w:p>
        </w:tc>
        <w:tc>
          <w:tcPr>
            <w:tcW w:w="1638" w:type="dxa"/>
            <w:tcBorders>
              <w:top w:val="single" w:sz="8" w:space="0" w:color="152935"/>
              <w:left w:val="single" w:sz="8" w:space="0" w:color="E0E0E0"/>
              <w:bottom w:val="single" w:sz="8" w:space="0" w:color="152935"/>
              <w:right w:val="single" w:sz="8" w:space="0" w:color="E0E0E0"/>
            </w:tcBorders>
            <w:shd w:val="clear" w:color="auto" w:fill="FFFFFF"/>
          </w:tcPr>
          <w:p w:rsidR="00B564D7" w:rsidRPr="000B583B" w:rsidRDefault="00B564D7"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,000</w:t>
            </w:r>
          </w:p>
        </w:tc>
        <w:tc>
          <w:tcPr>
            <w:tcW w:w="1638" w:type="dxa"/>
            <w:tcBorders>
              <w:top w:val="single" w:sz="8" w:space="0" w:color="152935"/>
              <w:left w:val="single" w:sz="8" w:space="0" w:color="E0E0E0"/>
              <w:bottom w:val="single" w:sz="8" w:space="0" w:color="152935"/>
              <w:right w:val="nil"/>
            </w:tcBorders>
            <w:shd w:val="clear" w:color="auto" w:fill="FFFFFF"/>
          </w:tcPr>
          <w:p w:rsidR="00B564D7" w:rsidRPr="000B583B" w:rsidRDefault="00B564D7"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1,243</w:t>
            </w:r>
          </w:p>
        </w:tc>
      </w:tr>
      <w:tr w:rsidR="00B564D7" w:rsidRPr="000B583B" w:rsidTr="00242B48">
        <w:trPr>
          <w:cantSplit/>
        </w:trPr>
        <w:tc>
          <w:tcPr>
            <w:tcW w:w="14962" w:type="dxa"/>
            <w:gridSpan w:val="7"/>
            <w:tcBorders>
              <w:top w:val="nil"/>
              <w:left w:val="nil"/>
              <w:bottom w:val="nil"/>
              <w:right w:val="nil"/>
            </w:tcBorders>
            <w:shd w:val="clear" w:color="auto" w:fill="FFFFFF"/>
          </w:tcPr>
          <w:p w:rsidR="00B564D7" w:rsidRPr="000B583B" w:rsidRDefault="00B564D7" w:rsidP="00E426AE">
            <w:pPr>
              <w:autoSpaceDE w:val="0"/>
              <w:autoSpaceDN w:val="0"/>
              <w:adjustRightInd w:val="0"/>
              <w:spacing w:after="0" w:line="240" w:lineRule="auto"/>
              <w:ind w:left="60" w:right="60"/>
              <w:rPr>
                <w:rFonts w:ascii="Arial" w:hAnsi="Arial" w:cs="Arial"/>
                <w:color w:val="010205"/>
                <w:sz w:val="18"/>
                <w:szCs w:val="18"/>
              </w:rPr>
            </w:pPr>
            <w:r w:rsidRPr="000B583B">
              <w:rPr>
                <w:rFonts w:ascii="Arial" w:hAnsi="Arial" w:cs="Arial"/>
                <w:color w:val="010205"/>
                <w:sz w:val="18"/>
                <w:szCs w:val="18"/>
              </w:rPr>
              <w:t>a.</w:t>
            </w:r>
            <w:r w:rsidR="008E0D61">
              <w:rPr>
                <w:rFonts w:ascii="Arial" w:hAnsi="Arial" w:cs="Arial"/>
                <w:color w:val="010205"/>
                <w:sz w:val="18"/>
                <w:szCs w:val="18"/>
              </w:rPr>
              <w:t xml:space="preserve"> Predictors: (Constant), ROA, D</w:t>
            </w:r>
            <w:r w:rsidRPr="000B583B">
              <w:rPr>
                <w:rFonts w:ascii="Arial" w:hAnsi="Arial" w:cs="Arial"/>
                <w:color w:val="010205"/>
                <w:sz w:val="18"/>
                <w:szCs w:val="18"/>
              </w:rPr>
              <w:t>R, LnBV</w:t>
            </w:r>
          </w:p>
        </w:tc>
      </w:tr>
      <w:tr w:rsidR="00B564D7" w:rsidRPr="000B583B" w:rsidTr="00242B48">
        <w:trPr>
          <w:cantSplit/>
        </w:trPr>
        <w:tc>
          <w:tcPr>
            <w:tcW w:w="14962" w:type="dxa"/>
            <w:gridSpan w:val="7"/>
            <w:tcBorders>
              <w:top w:val="nil"/>
              <w:left w:val="nil"/>
              <w:bottom w:val="nil"/>
              <w:right w:val="nil"/>
            </w:tcBorders>
            <w:shd w:val="clear" w:color="auto" w:fill="FFFFFF"/>
          </w:tcPr>
          <w:p w:rsidR="00B564D7" w:rsidRDefault="00B564D7" w:rsidP="00E426AE">
            <w:pPr>
              <w:autoSpaceDE w:val="0"/>
              <w:autoSpaceDN w:val="0"/>
              <w:adjustRightInd w:val="0"/>
              <w:spacing w:after="0" w:line="240" w:lineRule="auto"/>
              <w:ind w:left="60" w:right="60"/>
              <w:rPr>
                <w:rFonts w:ascii="Arial" w:hAnsi="Arial" w:cs="Arial"/>
                <w:color w:val="010205"/>
                <w:sz w:val="18"/>
                <w:szCs w:val="18"/>
              </w:rPr>
            </w:pPr>
            <w:r w:rsidRPr="000B583B">
              <w:rPr>
                <w:rFonts w:ascii="Arial" w:hAnsi="Arial" w:cs="Arial"/>
                <w:color w:val="010205"/>
                <w:sz w:val="18"/>
                <w:szCs w:val="18"/>
              </w:rPr>
              <w:t>b. Dependent Variable: TQ</w:t>
            </w:r>
          </w:p>
          <w:p w:rsidR="00E426AE" w:rsidRPr="000B583B" w:rsidRDefault="00E426AE" w:rsidP="00E426AE">
            <w:pPr>
              <w:autoSpaceDE w:val="0"/>
              <w:autoSpaceDN w:val="0"/>
              <w:adjustRightInd w:val="0"/>
              <w:spacing w:after="0" w:line="240" w:lineRule="auto"/>
              <w:ind w:left="60" w:right="60"/>
              <w:rPr>
                <w:rFonts w:ascii="Arial" w:hAnsi="Arial" w:cs="Arial"/>
                <w:color w:val="010205"/>
                <w:sz w:val="18"/>
                <w:szCs w:val="18"/>
              </w:rPr>
            </w:pPr>
          </w:p>
        </w:tc>
      </w:tr>
    </w:tbl>
    <w:p w:rsidR="00496E1C" w:rsidRDefault="00E426AE" w:rsidP="00E426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Tabel 2. Model Summary</w:t>
      </w:r>
    </w:p>
    <w:p w:rsidR="00E426AE" w:rsidRDefault="00E426AE" w:rsidP="00E426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Sumber: data diolah</w:t>
      </w:r>
    </w:p>
    <w:p w:rsidR="007C35B6" w:rsidRDefault="007C35B6" w:rsidP="00E426AE">
      <w:pPr>
        <w:autoSpaceDE w:val="0"/>
        <w:autoSpaceDN w:val="0"/>
        <w:adjustRightInd w:val="0"/>
        <w:spacing w:after="0" w:line="240" w:lineRule="auto"/>
        <w:rPr>
          <w:rFonts w:ascii="Times New Roman" w:hAnsi="Times New Roman" w:cs="Times New Roman"/>
          <w:sz w:val="24"/>
          <w:szCs w:val="24"/>
        </w:rPr>
      </w:pPr>
    </w:p>
    <w:p w:rsidR="00D418D3" w:rsidRPr="00D75AEF" w:rsidRDefault="00D75AEF" w:rsidP="00E426AE">
      <w:pPr>
        <w:autoSpaceDE w:val="0"/>
        <w:autoSpaceDN w:val="0"/>
        <w:adjustRightInd w:val="0"/>
        <w:spacing w:after="0" w:line="240" w:lineRule="auto"/>
        <w:rPr>
          <w:rFonts w:ascii="Times New Roman" w:hAnsi="Times New Roman" w:cs="Times New Roman"/>
          <w:b/>
          <w:sz w:val="24"/>
          <w:szCs w:val="24"/>
        </w:rPr>
      </w:pPr>
      <w:r w:rsidRPr="00D75AEF">
        <w:rPr>
          <w:rFonts w:ascii="Times New Roman" w:hAnsi="Times New Roman" w:cs="Times New Roman"/>
          <w:b/>
          <w:sz w:val="24"/>
          <w:szCs w:val="24"/>
        </w:rPr>
        <w:t>Analisis Regresi</w:t>
      </w:r>
    </w:p>
    <w:p w:rsidR="007C35B6" w:rsidRPr="007C35B6" w:rsidRDefault="007C35B6" w:rsidP="007C35B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 xml:space="preserve">Berdasarkan keempat ujian asumsi klasik yang telah dilakukan yaitu uji normalitas, multikolinieritas, </w:t>
      </w:r>
      <w:r w:rsidRPr="001A139B">
        <w:rPr>
          <w:rFonts w:ascii="Times New Roman" w:eastAsia="Times New Roman" w:hAnsi="Times New Roman" w:cs="Times New Roman"/>
          <w:bCs/>
          <w:sz w:val="24"/>
          <w:szCs w:val="24"/>
          <w:lang w:eastAsia="id-ID"/>
        </w:rPr>
        <w:t>heteroskastisitas</w:t>
      </w:r>
      <w:r>
        <w:rPr>
          <w:rFonts w:ascii="Times New Roman" w:eastAsia="Times New Roman" w:hAnsi="Times New Roman" w:cs="Times New Roman"/>
          <w:bCs/>
          <w:sz w:val="24"/>
          <w:szCs w:val="24"/>
          <w:lang w:eastAsia="id-ID"/>
        </w:rPr>
        <w:t xml:space="preserve"> dan autokorelasi maka analisis data dapat dilanjutkan untuk uji selanjutnya.</w:t>
      </w:r>
      <w:r>
        <w:rPr>
          <w:rFonts w:ascii="Times New Roman" w:eastAsia="Times New Roman" w:hAnsi="Times New Roman" w:cs="Times New Roman"/>
          <w:bCs/>
          <w:sz w:val="24"/>
          <w:szCs w:val="24"/>
          <w:lang w:eastAsia="id-ID"/>
        </w:rPr>
        <w:t xml:space="preserve"> Tabel 2 juga menunjukkan bahwa model dalam penelitian ini cukup baik karena memiliki adjusted R</w:t>
      </w:r>
      <w:r w:rsidRPr="007C35B6">
        <w:rPr>
          <w:rFonts w:ascii="Times New Roman" w:eastAsia="Times New Roman" w:hAnsi="Times New Roman" w:cs="Times New Roman"/>
          <w:bCs/>
          <w:sz w:val="24"/>
          <w:szCs w:val="24"/>
          <w:vertAlign w:val="superscript"/>
          <w:lang w:eastAsia="id-ID"/>
        </w:rPr>
        <w:t>2</w:t>
      </w:r>
      <w:r>
        <w:rPr>
          <w:rFonts w:ascii="Times New Roman" w:eastAsia="Times New Roman" w:hAnsi="Times New Roman" w:cs="Times New Roman"/>
          <w:bCs/>
          <w:sz w:val="24"/>
          <w:szCs w:val="24"/>
          <w:lang w:eastAsia="id-ID"/>
        </w:rPr>
        <w:t xml:space="preserve"> sebesar 0,427. Artinya model dalam penelitian ini bisa memprediksi </w:t>
      </w:r>
      <w:r w:rsidR="00D418D3">
        <w:rPr>
          <w:rFonts w:ascii="Times New Roman" w:eastAsia="Times New Roman" w:hAnsi="Times New Roman" w:cs="Times New Roman"/>
          <w:bCs/>
          <w:sz w:val="24"/>
          <w:szCs w:val="24"/>
          <w:lang w:eastAsia="id-ID"/>
        </w:rPr>
        <w:t>nilai perusahaan sebesar 42,7%. Sedangkan sisanya sebesar 57,3% dipengaruhi oleh variabel lainnya.</w:t>
      </w:r>
    </w:p>
    <w:tbl>
      <w:tblPr>
        <w:tblW w:w="88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8"/>
        <w:gridCol w:w="1433"/>
        <w:gridCol w:w="1638"/>
        <w:gridCol w:w="1143"/>
        <w:gridCol w:w="1570"/>
        <w:gridCol w:w="1143"/>
        <w:gridCol w:w="1143"/>
      </w:tblGrid>
      <w:tr w:rsidR="00496E1C" w:rsidRPr="000B583B" w:rsidTr="004B1C3E">
        <w:trPr>
          <w:cantSplit/>
        </w:trPr>
        <w:tc>
          <w:tcPr>
            <w:tcW w:w="2251" w:type="dxa"/>
            <w:gridSpan w:val="2"/>
            <w:tcBorders>
              <w:top w:val="nil"/>
              <w:left w:val="nil"/>
              <w:bottom w:val="single" w:sz="8" w:space="0" w:color="152935"/>
              <w:right w:val="nil"/>
            </w:tcBorders>
            <w:shd w:val="clear" w:color="auto" w:fill="FFFFFF"/>
            <w:vAlign w:val="bottom"/>
          </w:tcPr>
          <w:p w:rsidR="00496E1C" w:rsidRPr="000B583B" w:rsidRDefault="00496E1C" w:rsidP="00496E1C">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Model</w:t>
            </w:r>
          </w:p>
        </w:tc>
        <w:tc>
          <w:tcPr>
            <w:tcW w:w="1638" w:type="dxa"/>
            <w:tcBorders>
              <w:top w:val="nil"/>
              <w:left w:val="nil"/>
              <w:bottom w:val="single" w:sz="8" w:space="0" w:color="152935"/>
              <w:right w:val="single" w:sz="8" w:space="0" w:color="E0E0E0"/>
            </w:tcBorders>
            <w:shd w:val="clear" w:color="auto" w:fill="FFFFFF"/>
            <w:vAlign w:val="bottom"/>
          </w:tcPr>
          <w:p w:rsidR="00496E1C" w:rsidRPr="000B583B" w:rsidRDefault="00496E1C" w:rsidP="00496E1C">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Sum of Squares</w:t>
            </w:r>
          </w:p>
        </w:tc>
        <w:tc>
          <w:tcPr>
            <w:tcW w:w="1143" w:type="dxa"/>
            <w:tcBorders>
              <w:top w:val="nil"/>
              <w:left w:val="single" w:sz="8" w:space="0" w:color="E0E0E0"/>
              <w:bottom w:val="single" w:sz="8" w:space="0" w:color="152935"/>
              <w:right w:val="single" w:sz="8" w:space="0" w:color="E0E0E0"/>
            </w:tcBorders>
            <w:shd w:val="clear" w:color="auto" w:fill="FFFFFF"/>
            <w:vAlign w:val="bottom"/>
          </w:tcPr>
          <w:p w:rsidR="00496E1C" w:rsidRPr="000B583B" w:rsidRDefault="00496E1C" w:rsidP="00496E1C">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df</w:t>
            </w:r>
          </w:p>
        </w:tc>
        <w:tc>
          <w:tcPr>
            <w:tcW w:w="1570" w:type="dxa"/>
            <w:tcBorders>
              <w:top w:val="nil"/>
              <w:left w:val="single" w:sz="8" w:space="0" w:color="E0E0E0"/>
              <w:bottom w:val="single" w:sz="8" w:space="0" w:color="152935"/>
              <w:right w:val="single" w:sz="8" w:space="0" w:color="E0E0E0"/>
            </w:tcBorders>
            <w:shd w:val="clear" w:color="auto" w:fill="FFFFFF"/>
            <w:vAlign w:val="bottom"/>
          </w:tcPr>
          <w:p w:rsidR="00496E1C" w:rsidRPr="000B583B" w:rsidRDefault="00496E1C" w:rsidP="00496E1C">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Mean Square</w:t>
            </w:r>
          </w:p>
        </w:tc>
        <w:tc>
          <w:tcPr>
            <w:tcW w:w="1143" w:type="dxa"/>
            <w:tcBorders>
              <w:top w:val="nil"/>
              <w:left w:val="single" w:sz="8" w:space="0" w:color="E0E0E0"/>
              <w:bottom w:val="single" w:sz="8" w:space="0" w:color="152935"/>
              <w:right w:val="single" w:sz="8" w:space="0" w:color="E0E0E0"/>
            </w:tcBorders>
            <w:shd w:val="clear" w:color="auto" w:fill="FFFFFF"/>
            <w:vAlign w:val="bottom"/>
          </w:tcPr>
          <w:p w:rsidR="00496E1C" w:rsidRPr="000B583B" w:rsidRDefault="00496E1C" w:rsidP="00496E1C">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F</w:t>
            </w:r>
          </w:p>
        </w:tc>
        <w:tc>
          <w:tcPr>
            <w:tcW w:w="1143" w:type="dxa"/>
            <w:tcBorders>
              <w:top w:val="nil"/>
              <w:left w:val="single" w:sz="8" w:space="0" w:color="E0E0E0"/>
              <w:bottom w:val="single" w:sz="8" w:space="0" w:color="152935"/>
              <w:right w:val="nil"/>
            </w:tcBorders>
            <w:shd w:val="clear" w:color="auto" w:fill="FFFFFF"/>
            <w:vAlign w:val="bottom"/>
          </w:tcPr>
          <w:p w:rsidR="00496E1C" w:rsidRPr="000B583B" w:rsidRDefault="00496E1C" w:rsidP="00496E1C">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Sig.</w:t>
            </w:r>
          </w:p>
        </w:tc>
      </w:tr>
      <w:tr w:rsidR="00496E1C" w:rsidRPr="000B583B" w:rsidTr="004B1C3E">
        <w:trPr>
          <w:cantSplit/>
        </w:trPr>
        <w:tc>
          <w:tcPr>
            <w:tcW w:w="818" w:type="dxa"/>
            <w:vMerge w:val="restart"/>
            <w:tcBorders>
              <w:top w:val="single" w:sz="8" w:space="0" w:color="152935"/>
              <w:left w:val="nil"/>
              <w:bottom w:val="single" w:sz="8" w:space="0" w:color="152935"/>
              <w:right w:val="nil"/>
            </w:tcBorders>
            <w:shd w:val="clear" w:color="auto" w:fill="E0E0E0"/>
          </w:tcPr>
          <w:p w:rsidR="00496E1C" w:rsidRPr="000B583B" w:rsidRDefault="00496E1C" w:rsidP="00496E1C">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1</w:t>
            </w:r>
          </w:p>
        </w:tc>
        <w:tc>
          <w:tcPr>
            <w:tcW w:w="1433" w:type="dxa"/>
            <w:tcBorders>
              <w:top w:val="single" w:sz="8" w:space="0" w:color="152935"/>
              <w:left w:val="nil"/>
              <w:bottom w:val="single" w:sz="8" w:space="0" w:color="AEAEAE"/>
              <w:right w:val="nil"/>
            </w:tcBorders>
            <w:shd w:val="clear" w:color="auto" w:fill="E0E0E0"/>
          </w:tcPr>
          <w:p w:rsidR="00496E1C" w:rsidRPr="000B583B" w:rsidRDefault="00496E1C" w:rsidP="00496E1C">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Regression</w:t>
            </w:r>
          </w:p>
        </w:tc>
        <w:tc>
          <w:tcPr>
            <w:tcW w:w="1638" w:type="dxa"/>
            <w:tcBorders>
              <w:top w:val="single" w:sz="8" w:space="0" w:color="152935"/>
              <w:left w:val="nil"/>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1388,871</w:t>
            </w:r>
          </w:p>
        </w:tc>
        <w:tc>
          <w:tcPr>
            <w:tcW w:w="1143" w:type="dxa"/>
            <w:tcBorders>
              <w:top w:val="single" w:sz="8" w:space="0" w:color="152935"/>
              <w:left w:val="single" w:sz="8" w:space="0" w:color="E0E0E0"/>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3</w:t>
            </w:r>
          </w:p>
        </w:tc>
        <w:tc>
          <w:tcPr>
            <w:tcW w:w="1570" w:type="dxa"/>
            <w:tcBorders>
              <w:top w:val="single" w:sz="8" w:space="0" w:color="152935"/>
              <w:left w:val="single" w:sz="8" w:space="0" w:color="E0E0E0"/>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462,957</w:t>
            </w:r>
          </w:p>
        </w:tc>
        <w:tc>
          <w:tcPr>
            <w:tcW w:w="1143" w:type="dxa"/>
            <w:tcBorders>
              <w:top w:val="single" w:sz="8" w:space="0" w:color="152935"/>
              <w:left w:val="single" w:sz="8" w:space="0" w:color="E0E0E0"/>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32,065</w:t>
            </w:r>
          </w:p>
        </w:tc>
        <w:tc>
          <w:tcPr>
            <w:tcW w:w="1143" w:type="dxa"/>
            <w:tcBorders>
              <w:top w:val="single" w:sz="8" w:space="0" w:color="152935"/>
              <w:left w:val="single" w:sz="8" w:space="0" w:color="E0E0E0"/>
              <w:bottom w:val="single" w:sz="8" w:space="0" w:color="AEAEAE"/>
              <w:right w:val="nil"/>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,000</w:t>
            </w:r>
            <w:r w:rsidRPr="000B583B">
              <w:rPr>
                <w:rFonts w:ascii="Arial" w:hAnsi="Arial" w:cs="Arial"/>
                <w:color w:val="010205"/>
                <w:sz w:val="18"/>
                <w:szCs w:val="18"/>
                <w:vertAlign w:val="superscript"/>
              </w:rPr>
              <w:t>b</w:t>
            </w:r>
          </w:p>
        </w:tc>
      </w:tr>
      <w:tr w:rsidR="00496E1C" w:rsidRPr="000B583B" w:rsidTr="004B1C3E">
        <w:trPr>
          <w:cantSplit/>
        </w:trPr>
        <w:tc>
          <w:tcPr>
            <w:tcW w:w="818" w:type="dxa"/>
            <w:vMerge/>
            <w:tcBorders>
              <w:top w:val="single" w:sz="8" w:space="0" w:color="152935"/>
              <w:left w:val="nil"/>
              <w:bottom w:val="single" w:sz="8" w:space="0" w:color="152935"/>
              <w:right w:val="nil"/>
            </w:tcBorders>
            <w:shd w:val="clear" w:color="auto" w:fill="E0E0E0"/>
          </w:tcPr>
          <w:p w:rsidR="00496E1C" w:rsidRPr="000B583B" w:rsidRDefault="00496E1C" w:rsidP="00496E1C">
            <w:pPr>
              <w:autoSpaceDE w:val="0"/>
              <w:autoSpaceDN w:val="0"/>
              <w:adjustRightInd w:val="0"/>
              <w:spacing w:after="0" w:line="240" w:lineRule="auto"/>
              <w:rPr>
                <w:rFonts w:ascii="Arial" w:hAnsi="Arial" w:cs="Arial"/>
                <w:color w:val="010205"/>
                <w:sz w:val="18"/>
                <w:szCs w:val="18"/>
              </w:rPr>
            </w:pPr>
          </w:p>
        </w:tc>
        <w:tc>
          <w:tcPr>
            <w:tcW w:w="1433" w:type="dxa"/>
            <w:tcBorders>
              <w:top w:val="single" w:sz="8" w:space="0" w:color="AEAEAE"/>
              <w:left w:val="nil"/>
              <w:bottom w:val="single" w:sz="8" w:space="0" w:color="AEAEAE"/>
              <w:right w:val="nil"/>
            </w:tcBorders>
            <w:shd w:val="clear" w:color="auto" w:fill="E0E0E0"/>
          </w:tcPr>
          <w:p w:rsidR="00496E1C" w:rsidRPr="000B583B" w:rsidRDefault="00496E1C" w:rsidP="00496E1C">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Residual</w:t>
            </w:r>
          </w:p>
        </w:tc>
        <w:tc>
          <w:tcPr>
            <w:tcW w:w="1638" w:type="dxa"/>
            <w:tcBorders>
              <w:top w:val="single" w:sz="8" w:space="0" w:color="AEAEAE"/>
              <w:left w:val="nil"/>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1761,423</w:t>
            </w:r>
          </w:p>
        </w:tc>
        <w:tc>
          <w:tcPr>
            <w:tcW w:w="1143" w:type="dxa"/>
            <w:tcBorders>
              <w:top w:val="single" w:sz="8" w:space="0" w:color="AEAEAE"/>
              <w:left w:val="single" w:sz="8" w:space="0" w:color="E0E0E0"/>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122</w:t>
            </w:r>
          </w:p>
        </w:tc>
        <w:tc>
          <w:tcPr>
            <w:tcW w:w="1570" w:type="dxa"/>
            <w:tcBorders>
              <w:top w:val="single" w:sz="8" w:space="0" w:color="AEAEAE"/>
              <w:left w:val="single" w:sz="8" w:space="0" w:color="E0E0E0"/>
              <w:bottom w:val="single" w:sz="8" w:space="0" w:color="AEAEAE"/>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14,438</w:t>
            </w:r>
          </w:p>
        </w:tc>
        <w:tc>
          <w:tcPr>
            <w:tcW w:w="1143" w:type="dxa"/>
            <w:tcBorders>
              <w:top w:val="single" w:sz="8" w:space="0" w:color="AEAEAE"/>
              <w:left w:val="single" w:sz="8" w:space="0" w:color="E0E0E0"/>
              <w:bottom w:val="single" w:sz="8" w:space="0" w:color="AEAEAE"/>
              <w:right w:val="single" w:sz="8" w:space="0" w:color="E0E0E0"/>
            </w:tcBorders>
            <w:shd w:val="clear" w:color="auto" w:fill="FFFFFF"/>
            <w:vAlign w:val="center"/>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8" w:space="0" w:color="AEAEAE"/>
              <w:left w:val="single" w:sz="8" w:space="0" w:color="E0E0E0"/>
              <w:bottom w:val="single" w:sz="8" w:space="0" w:color="AEAEAE"/>
              <w:right w:val="nil"/>
            </w:tcBorders>
            <w:shd w:val="clear" w:color="auto" w:fill="FFFFFF"/>
            <w:vAlign w:val="center"/>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r>
      <w:tr w:rsidR="00496E1C" w:rsidRPr="000B583B" w:rsidTr="004B1C3E">
        <w:trPr>
          <w:cantSplit/>
        </w:trPr>
        <w:tc>
          <w:tcPr>
            <w:tcW w:w="818" w:type="dxa"/>
            <w:vMerge/>
            <w:tcBorders>
              <w:top w:val="single" w:sz="8" w:space="0" w:color="152935"/>
              <w:left w:val="nil"/>
              <w:bottom w:val="single" w:sz="8" w:space="0" w:color="152935"/>
              <w:right w:val="nil"/>
            </w:tcBorders>
            <w:shd w:val="clear" w:color="auto" w:fill="E0E0E0"/>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c>
          <w:tcPr>
            <w:tcW w:w="1433" w:type="dxa"/>
            <w:tcBorders>
              <w:top w:val="single" w:sz="8" w:space="0" w:color="AEAEAE"/>
              <w:left w:val="nil"/>
              <w:bottom w:val="single" w:sz="8" w:space="0" w:color="152935"/>
              <w:right w:val="nil"/>
            </w:tcBorders>
            <w:shd w:val="clear" w:color="auto" w:fill="E0E0E0"/>
          </w:tcPr>
          <w:p w:rsidR="00496E1C" w:rsidRPr="000B583B" w:rsidRDefault="00496E1C" w:rsidP="00496E1C">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Total</w:t>
            </w:r>
          </w:p>
        </w:tc>
        <w:tc>
          <w:tcPr>
            <w:tcW w:w="1638" w:type="dxa"/>
            <w:tcBorders>
              <w:top w:val="single" w:sz="8" w:space="0" w:color="AEAEAE"/>
              <w:left w:val="nil"/>
              <w:bottom w:val="single" w:sz="8" w:space="0" w:color="152935"/>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3150,294</w:t>
            </w:r>
          </w:p>
        </w:tc>
        <w:tc>
          <w:tcPr>
            <w:tcW w:w="1143" w:type="dxa"/>
            <w:tcBorders>
              <w:top w:val="single" w:sz="8" w:space="0" w:color="AEAEAE"/>
              <w:left w:val="single" w:sz="8" w:space="0" w:color="E0E0E0"/>
              <w:bottom w:val="single" w:sz="8" w:space="0" w:color="152935"/>
              <w:right w:val="single" w:sz="8" w:space="0" w:color="E0E0E0"/>
            </w:tcBorders>
            <w:shd w:val="clear" w:color="auto" w:fill="FFFFFF"/>
          </w:tcPr>
          <w:p w:rsidR="00496E1C" w:rsidRPr="000B583B" w:rsidRDefault="00496E1C" w:rsidP="00496E1C">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125</w:t>
            </w:r>
          </w:p>
        </w:tc>
        <w:tc>
          <w:tcPr>
            <w:tcW w:w="157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c>
          <w:tcPr>
            <w:tcW w:w="1143" w:type="dxa"/>
            <w:tcBorders>
              <w:top w:val="single" w:sz="8" w:space="0" w:color="AEAEAE"/>
              <w:left w:val="single" w:sz="8" w:space="0" w:color="E0E0E0"/>
              <w:bottom w:val="single" w:sz="8" w:space="0" w:color="152935"/>
              <w:right w:val="nil"/>
            </w:tcBorders>
            <w:shd w:val="clear" w:color="auto" w:fill="FFFFFF"/>
            <w:vAlign w:val="center"/>
          </w:tcPr>
          <w:p w:rsidR="00496E1C" w:rsidRPr="000B583B" w:rsidRDefault="00496E1C" w:rsidP="00496E1C">
            <w:pPr>
              <w:autoSpaceDE w:val="0"/>
              <w:autoSpaceDN w:val="0"/>
              <w:adjustRightInd w:val="0"/>
              <w:spacing w:after="0" w:line="240" w:lineRule="auto"/>
              <w:rPr>
                <w:rFonts w:ascii="Times New Roman" w:hAnsi="Times New Roman" w:cs="Times New Roman"/>
                <w:sz w:val="24"/>
                <w:szCs w:val="24"/>
              </w:rPr>
            </w:pPr>
          </w:p>
        </w:tc>
      </w:tr>
      <w:tr w:rsidR="00496E1C" w:rsidRPr="000B583B" w:rsidTr="004B1C3E">
        <w:trPr>
          <w:cantSplit/>
        </w:trPr>
        <w:tc>
          <w:tcPr>
            <w:tcW w:w="8888" w:type="dxa"/>
            <w:gridSpan w:val="7"/>
            <w:tcBorders>
              <w:top w:val="nil"/>
              <w:left w:val="nil"/>
              <w:bottom w:val="nil"/>
              <w:right w:val="nil"/>
            </w:tcBorders>
            <w:shd w:val="clear" w:color="auto" w:fill="FFFFFF"/>
          </w:tcPr>
          <w:p w:rsidR="00496E1C" w:rsidRPr="000B583B" w:rsidRDefault="00496E1C" w:rsidP="008E0D61">
            <w:pPr>
              <w:autoSpaceDE w:val="0"/>
              <w:autoSpaceDN w:val="0"/>
              <w:adjustRightInd w:val="0"/>
              <w:spacing w:after="0" w:line="240" w:lineRule="auto"/>
              <w:ind w:left="60" w:right="60"/>
              <w:rPr>
                <w:rFonts w:ascii="Arial" w:hAnsi="Arial" w:cs="Arial"/>
                <w:color w:val="010205"/>
                <w:sz w:val="18"/>
                <w:szCs w:val="18"/>
              </w:rPr>
            </w:pPr>
            <w:r w:rsidRPr="000B583B">
              <w:rPr>
                <w:rFonts w:ascii="Arial" w:hAnsi="Arial" w:cs="Arial"/>
                <w:color w:val="010205"/>
                <w:sz w:val="18"/>
                <w:szCs w:val="18"/>
              </w:rPr>
              <w:t>a. Dependent Variable: TQ</w:t>
            </w:r>
          </w:p>
        </w:tc>
      </w:tr>
      <w:tr w:rsidR="00496E1C" w:rsidRPr="000B583B" w:rsidTr="004B1C3E">
        <w:trPr>
          <w:cantSplit/>
        </w:trPr>
        <w:tc>
          <w:tcPr>
            <w:tcW w:w="8888" w:type="dxa"/>
            <w:gridSpan w:val="7"/>
            <w:tcBorders>
              <w:top w:val="nil"/>
              <w:left w:val="nil"/>
              <w:bottom w:val="nil"/>
              <w:right w:val="nil"/>
            </w:tcBorders>
            <w:shd w:val="clear" w:color="auto" w:fill="FFFFFF"/>
          </w:tcPr>
          <w:p w:rsidR="00496E1C" w:rsidRPr="000B583B" w:rsidRDefault="00496E1C" w:rsidP="008E0D61">
            <w:pPr>
              <w:autoSpaceDE w:val="0"/>
              <w:autoSpaceDN w:val="0"/>
              <w:adjustRightInd w:val="0"/>
              <w:spacing w:after="0" w:line="240" w:lineRule="auto"/>
              <w:ind w:left="60" w:right="60"/>
              <w:rPr>
                <w:rFonts w:ascii="Arial" w:hAnsi="Arial" w:cs="Arial"/>
                <w:color w:val="010205"/>
                <w:sz w:val="18"/>
                <w:szCs w:val="18"/>
              </w:rPr>
            </w:pPr>
            <w:r w:rsidRPr="000B583B">
              <w:rPr>
                <w:rFonts w:ascii="Arial" w:hAnsi="Arial" w:cs="Arial"/>
                <w:color w:val="010205"/>
                <w:sz w:val="18"/>
                <w:szCs w:val="18"/>
              </w:rPr>
              <w:t>b.</w:t>
            </w:r>
            <w:r w:rsidR="008E0D61">
              <w:rPr>
                <w:rFonts w:ascii="Arial" w:hAnsi="Arial" w:cs="Arial"/>
                <w:color w:val="010205"/>
                <w:sz w:val="18"/>
                <w:szCs w:val="18"/>
              </w:rPr>
              <w:t xml:space="preserve"> Predictors: (Constant), ROA, D</w:t>
            </w:r>
            <w:r w:rsidRPr="000B583B">
              <w:rPr>
                <w:rFonts w:ascii="Arial" w:hAnsi="Arial" w:cs="Arial"/>
                <w:color w:val="010205"/>
                <w:sz w:val="18"/>
                <w:szCs w:val="18"/>
              </w:rPr>
              <w:t>R, LnBV</w:t>
            </w:r>
          </w:p>
        </w:tc>
      </w:tr>
    </w:tbl>
    <w:p w:rsidR="00496E1C" w:rsidRDefault="00D418D3" w:rsidP="00D75AEF">
      <w:pPr>
        <w:autoSpaceDE w:val="0"/>
        <w:autoSpaceDN w:val="0"/>
        <w:adjustRightInd w:val="0"/>
        <w:spacing w:after="0" w:line="240" w:lineRule="auto"/>
        <w:rPr>
          <w:rFonts w:ascii="Times New Roman" w:hAnsi="Times New Roman" w:cs="Times New Roman"/>
          <w:bCs/>
          <w:color w:val="010205"/>
          <w:sz w:val="24"/>
          <w:szCs w:val="24"/>
        </w:rPr>
      </w:pPr>
      <w:r>
        <w:rPr>
          <w:rFonts w:ascii="Times New Roman" w:hAnsi="Times New Roman" w:cs="Times New Roman"/>
          <w:sz w:val="24"/>
          <w:szCs w:val="24"/>
        </w:rPr>
        <w:t xml:space="preserve">Tabel 3. </w:t>
      </w:r>
      <w:r w:rsidRPr="00D418D3">
        <w:rPr>
          <w:rFonts w:ascii="Times New Roman" w:hAnsi="Times New Roman" w:cs="Times New Roman"/>
          <w:bCs/>
          <w:color w:val="010205"/>
          <w:sz w:val="24"/>
          <w:szCs w:val="24"/>
        </w:rPr>
        <w:t>ANOVA</w:t>
      </w:r>
      <w:r w:rsidRPr="00D418D3">
        <w:rPr>
          <w:rFonts w:ascii="Times New Roman" w:hAnsi="Times New Roman" w:cs="Times New Roman"/>
          <w:bCs/>
          <w:color w:val="010205"/>
          <w:sz w:val="24"/>
          <w:szCs w:val="24"/>
          <w:vertAlign w:val="superscript"/>
        </w:rPr>
        <w:t>a</w:t>
      </w:r>
    </w:p>
    <w:p w:rsidR="00D418D3" w:rsidRDefault="00D418D3" w:rsidP="00D75AEF">
      <w:pPr>
        <w:autoSpaceDE w:val="0"/>
        <w:autoSpaceDN w:val="0"/>
        <w:adjustRightInd w:val="0"/>
        <w:spacing w:after="0" w:line="240" w:lineRule="auto"/>
        <w:rPr>
          <w:rFonts w:ascii="Times New Roman" w:hAnsi="Times New Roman" w:cs="Times New Roman"/>
          <w:bCs/>
          <w:color w:val="010205"/>
          <w:sz w:val="24"/>
          <w:szCs w:val="24"/>
        </w:rPr>
      </w:pPr>
      <w:r>
        <w:rPr>
          <w:rFonts w:ascii="Times New Roman" w:hAnsi="Times New Roman" w:cs="Times New Roman"/>
          <w:bCs/>
          <w:color w:val="010205"/>
          <w:sz w:val="24"/>
          <w:szCs w:val="24"/>
        </w:rPr>
        <w:t>Sumber: data diolah</w:t>
      </w:r>
    </w:p>
    <w:p w:rsidR="00D75AEF" w:rsidRDefault="00D75AEF" w:rsidP="00D75AEF">
      <w:pPr>
        <w:autoSpaceDE w:val="0"/>
        <w:autoSpaceDN w:val="0"/>
        <w:adjustRightInd w:val="0"/>
        <w:spacing w:after="0" w:line="240" w:lineRule="auto"/>
        <w:rPr>
          <w:rFonts w:ascii="Times New Roman" w:hAnsi="Times New Roman" w:cs="Times New Roman"/>
          <w:bCs/>
          <w:color w:val="010205"/>
          <w:sz w:val="24"/>
          <w:szCs w:val="24"/>
        </w:rPr>
      </w:pPr>
    </w:p>
    <w:p w:rsidR="00D418D3" w:rsidRDefault="00D418D3" w:rsidP="00D75AEF">
      <w:pPr>
        <w:autoSpaceDE w:val="0"/>
        <w:autoSpaceDN w:val="0"/>
        <w:adjustRightInd w:val="0"/>
        <w:spacing w:after="0" w:line="240" w:lineRule="auto"/>
        <w:jc w:val="both"/>
        <w:rPr>
          <w:rFonts w:ascii="Times New Roman" w:hAnsi="Times New Roman" w:cs="Times New Roman"/>
          <w:bCs/>
          <w:color w:val="010205"/>
          <w:sz w:val="24"/>
          <w:szCs w:val="24"/>
        </w:rPr>
      </w:pPr>
      <w:r>
        <w:rPr>
          <w:rFonts w:ascii="Times New Roman" w:hAnsi="Times New Roman" w:cs="Times New Roman"/>
          <w:bCs/>
          <w:color w:val="010205"/>
          <w:sz w:val="24"/>
          <w:szCs w:val="24"/>
        </w:rPr>
        <w:t xml:space="preserve">Pengaruh </w:t>
      </w:r>
      <w:r w:rsidR="00D75AEF">
        <w:rPr>
          <w:rFonts w:ascii="Times New Roman" w:hAnsi="Times New Roman" w:cs="Times New Roman"/>
          <w:bCs/>
          <w:color w:val="010205"/>
          <w:sz w:val="24"/>
          <w:szCs w:val="24"/>
        </w:rPr>
        <w:t xml:space="preserve">ekuitas merek, struktur modal dan </w:t>
      </w:r>
      <w:r>
        <w:rPr>
          <w:rFonts w:ascii="Times New Roman" w:hAnsi="Times New Roman" w:cs="Times New Roman"/>
          <w:bCs/>
          <w:color w:val="010205"/>
          <w:sz w:val="24"/>
          <w:szCs w:val="24"/>
        </w:rPr>
        <w:t>profitabilitas</w:t>
      </w:r>
      <w:r w:rsidR="00D75AEF">
        <w:rPr>
          <w:rFonts w:ascii="Times New Roman" w:hAnsi="Times New Roman" w:cs="Times New Roman"/>
          <w:bCs/>
          <w:color w:val="010205"/>
          <w:sz w:val="24"/>
          <w:szCs w:val="24"/>
        </w:rPr>
        <w:t xml:space="preserve"> secara bersama-sama terhadap nilai perusahaan ditunjukkan pada tabel 3. Berdasarkan tabel 3 ini diketahui bahwa </w:t>
      </w:r>
      <w:r w:rsidR="00D75AEF">
        <w:rPr>
          <w:rFonts w:ascii="Times New Roman" w:hAnsi="Times New Roman" w:cs="Times New Roman"/>
          <w:bCs/>
          <w:color w:val="010205"/>
          <w:sz w:val="24"/>
          <w:szCs w:val="24"/>
        </w:rPr>
        <w:t xml:space="preserve">ekuitas merek, struktur modal dan profitabilitas secara bersama-sama </w:t>
      </w:r>
      <w:r w:rsidR="00D75AEF">
        <w:rPr>
          <w:rFonts w:ascii="Times New Roman" w:hAnsi="Times New Roman" w:cs="Times New Roman"/>
          <w:bCs/>
          <w:color w:val="010205"/>
          <w:sz w:val="24"/>
          <w:szCs w:val="24"/>
        </w:rPr>
        <w:t xml:space="preserve">berpengaruh signifikan </w:t>
      </w:r>
      <w:r w:rsidR="00D75AEF">
        <w:rPr>
          <w:rFonts w:ascii="Times New Roman" w:hAnsi="Times New Roman" w:cs="Times New Roman"/>
          <w:bCs/>
          <w:color w:val="010205"/>
          <w:sz w:val="24"/>
          <w:szCs w:val="24"/>
        </w:rPr>
        <w:t>terhadap nilai perusahaan</w:t>
      </w:r>
      <w:r w:rsidR="00D75AEF">
        <w:rPr>
          <w:rFonts w:ascii="Times New Roman" w:hAnsi="Times New Roman" w:cs="Times New Roman"/>
          <w:bCs/>
          <w:color w:val="010205"/>
          <w:sz w:val="24"/>
          <w:szCs w:val="24"/>
        </w:rPr>
        <w:t xml:space="preserve"> karena memiliki tingkat signifikansi yang di bawah 5%. Artinya </w:t>
      </w:r>
      <w:r w:rsidR="00D75AEF">
        <w:rPr>
          <w:rFonts w:ascii="Times New Roman" w:hAnsi="Times New Roman" w:cs="Times New Roman"/>
          <w:bCs/>
          <w:color w:val="010205"/>
          <w:sz w:val="24"/>
          <w:szCs w:val="24"/>
        </w:rPr>
        <w:t xml:space="preserve">ekuitas merek, struktur modal dan profitabilitas secara bersama-sama </w:t>
      </w:r>
      <w:r w:rsidR="00D75AEF">
        <w:rPr>
          <w:rFonts w:ascii="Times New Roman" w:hAnsi="Times New Roman" w:cs="Times New Roman"/>
          <w:bCs/>
          <w:color w:val="010205"/>
          <w:sz w:val="24"/>
          <w:szCs w:val="24"/>
        </w:rPr>
        <w:t xml:space="preserve">dapat digunakan untuk memprediksikan </w:t>
      </w:r>
      <w:r w:rsidR="00D75AEF">
        <w:rPr>
          <w:rFonts w:ascii="Times New Roman" w:hAnsi="Times New Roman" w:cs="Times New Roman"/>
          <w:bCs/>
          <w:color w:val="010205"/>
          <w:sz w:val="24"/>
          <w:szCs w:val="24"/>
        </w:rPr>
        <w:t>nilai perusahaan</w:t>
      </w:r>
      <w:r w:rsidR="00D75AEF">
        <w:rPr>
          <w:rFonts w:ascii="Times New Roman" w:hAnsi="Times New Roman" w:cs="Times New Roman"/>
          <w:bCs/>
          <w:color w:val="010205"/>
          <w:sz w:val="24"/>
          <w:szCs w:val="24"/>
        </w:rPr>
        <w:t>.</w:t>
      </w:r>
    </w:p>
    <w:tbl>
      <w:tblPr>
        <w:tblW w:w="99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851"/>
        <w:gridCol w:w="992"/>
        <w:gridCol w:w="1276"/>
        <w:gridCol w:w="850"/>
        <w:gridCol w:w="851"/>
        <w:gridCol w:w="3895"/>
      </w:tblGrid>
      <w:tr w:rsidR="008E0D61" w:rsidRPr="000B583B" w:rsidTr="006B4869">
        <w:trPr>
          <w:gridAfter w:val="1"/>
          <w:wAfter w:w="3895" w:type="dxa"/>
          <w:cantSplit/>
        </w:trPr>
        <w:tc>
          <w:tcPr>
            <w:tcW w:w="1276" w:type="dxa"/>
            <w:gridSpan w:val="2"/>
            <w:vMerge w:val="restart"/>
            <w:tcBorders>
              <w:top w:val="nil"/>
              <w:left w:val="nil"/>
              <w:bottom w:val="nil"/>
              <w:right w:val="nil"/>
            </w:tcBorders>
            <w:shd w:val="clear" w:color="auto" w:fill="FFFFFF"/>
            <w:vAlign w:val="bottom"/>
          </w:tcPr>
          <w:p w:rsidR="008E0D61" w:rsidRPr="000B583B" w:rsidRDefault="008E0D61"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Model</w:t>
            </w:r>
          </w:p>
        </w:tc>
        <w:tc>
          <w:tcPr>
            <w:tcW w:w="1843" w:type="dxa"/>
            <w:gridSpan w:val="2"/>
            <w:tcBorders>
              <w:top w:val="nil"/>
              <w:left w:val="nil"/>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Unstandardized Coefficients</w:t>
            </w:r>
          </w:p>
        </w:tc>
        <w:tc>
          <w:tcPr>
            <w:tcW w:w="1276" w:type="dxa"/>
            <w:tcBorders>
              <w:top w:val="nil"/>
              <w:left w:val="single" w:sz="8" w:space="0" w:color="E0E0E0"/>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Sig.</w:t>
            </w:r>
          </w:p>
        </w:tc>
      </w:tr>
      <w:tr w:rsidR="008E0D61" w:rsidRPr="000B583B" w:rsidTr="006B4869">
        <w:trPr>
          <w:gridAfter w:val="1"/>
          <w:wAfter w:w="3895" w:type="dxa"/>
          <w:cantSplit/>
        </w:trPr>
        <w:tc>
          <w:tcPr>
            <w:tcW w:w="1276" w:type="dxa"/>
            <w:gridSpan w:val="2"/>
            <w:vMerge/>
            <w:tcBorders>
              <w:top w:val="nil"/>
              <w:left w:val="nil"/>
              <w:bottom w:val="nil"/>
              <w:right w:val="nil"/>
            </w:tcBorders>
            <w:shd w:val="clear" w:color="auto" w:fill="FFFFFF"/>
            <w:vAlign w:val="bottom"/>
          </w:tcPr>
          <w:p w:rsidR="008E0D61" w:rsidRPr="000B583B" w:rsidRDefault="008E0D61" w:rsidP="00242B48">
            <w:pPr>
              <w:autoSpaceDE w:val="0"/>
              <w:autoSpaceDN w:val="0"/>
              <w:adjustRightInd w:val="0"/>
              <w:spacing w:after="0" w:line="240" w:lineRule="auto"/>
              <w:rPr>
                <w:rFonts w:ascii="Arial" w:hAnsi="Arial" w:cs="Arial"/>
                <w:color w:val="264A60"/>
                <w:sz w:val="18"/>
                <w:szCs w:val="18"/>
              </w:rPr>
            </w:pPr>
          </w:p>
        </w:tc>
        <w:tc>
          <w:tcPr>
            <w:tcW w:w="851" w:type="dxa"/>
            <w:tcBorders>
              <w:top w:val="nil"/>
              <w:left w:val="nil"/>
              <w:bottom w:val="single" w:sz="8" w:space="0" w:color="152935"/>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B</w:t>
            </w:r>
          </w:p>
        </w:tc>
        <w:tc>
          <w:tcPr>
            <w:tcW w:w="992" w:type="dxa"/>
            <w:tcBorders>
              <w:top w:val="nil"/>
              <w:left w:val="single" w:sz="8" w:space="0" w:color="E0E0E0"/>
              <w:bottom w:val="single" w:sz="8" w:space="0" w:color="152935"/>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Std. Error</w:t>
            </w:r>
          </w:p>
        </w:tc>
        <w:tc>
          <w:tcPr>
            <w:tcW w:w="1276" w:type="dxa"/>
            <w:tcBorders>
              <w:top w:val="nil"/>
              <w:left w:val="single" w:sz="8" w:space="0" w:color="E0E0E0"/>
              <w:bottom w:val="single" w:sz="8" w:space="0" w:color="152935"/>
              <w:right w:val="single" w:sz="8" w:space="0" w:color="E0E0E0"/>
            </w:tcBorders>
            <w:shd w:val="clear" w:color="auto" w:fill="FFFFFF"/>
            <w:vAlign w:val="bottom"/>
          </w:tcPr>
          <w:p w:rsidR="008E0D61" w:rsidRPr="000B583B" w:rsidRDefault="008E0D61" w:rsidP="00242B48">
            <w:pPr>
              <w:autoSpaceDE w:val="0"/>
              <w:autoSpaceDN w:val="0"/>
              <w:adjustRightInd w:val="0"/>
              <w:spacing w:after="0" w:line="320" w:lineRule="atLeast"/>
              <w:ind w:left="60" w:right="60"/>
              <w:jc w:val="center"/>
              <w:rPr>
                <w:rFonts w:ascii="Arial" w:hAnsi="Arial" w:cs="Arial"/>
                <w:color w:val="264A60"/>
                <w:sz w:val="18"/>
                <w:szCs w:val="18"/>
              </w:rPr>
            </w:pPr>
            <w:r w:rsidRPr="000B583B">
              <w:rPr>
                <w:rFonts w:ascii="Arial" w:hAnsi="Arial" w:cs="Arial"/>
                <w:color w:val="264A60"/>
                <w:sz w:val="18"/>
                <w:szCs w:val="18"/>
              </w:rPr>
              <w:t>Beta</w:t>
            </w:r>
          </w:p>
        </w:tc>
        <w:tc>
          <w:tcPr>
            <w:tcW w:w="850" w:type="dxa"/>
            <w:vMerge/>
            <w:tcBorders>
              <w:top w:val="nil"/>
              <w:left w:val="single" w:sz="8" w:space="0" w:color="E0E0E0"/>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240" w:lineRule="auto"/>
              <w:rPr>
                <w:rFonts w:ascii="Arial" w:hAnsi="Arial" w:cs="Arial"/>
                <w:color w:val="264A60"/>
                <w:sz w:val="18"/>
                <w:szCs w:val="18"/>
              </w:rPr>
            </w:pPr>
          </w:p>
        </w:tc>
        <w:tc>
          <w:tcPr>
            <w:tcW w:w="851" w:type="dxa"/>
            <w:vMerge/>
            <w:tcBorders>
              <w:top w:val="nil"/>
              <w:left w:val="single" w:sz="8" w:space="0" w:color="E0E0E0"/>
              <w:bottom w:val="nil"/>
              <w:right w:val="single" w:sz="8" w:space="0" w:color="E0E0E0"/>
            </w:tcBorders>
            <w:shd w:val="clear" w:color="auto" w:fill="FFFFFF"/>
            <w:vAlign w:val="bottom"/>
          </w:tcPr>
          <w:p w:rsidR="008E0D61" w:rsidRPr="000B583B" w:rsidRDefault="008E0D61" w:rsidP="00242B48">
            <w:pPr>
              <w:autoSpaceDE w:val="0"/>
              <w:autoSpaceDN w:val="0"/>
              <w:adjustRightInd w:val="0"/>
              <w:spacing w:after="0" w:line="240" w:lineRule="auto"/>
              <w:rPr>
                <w:rFonts w:ascii="Arial" w:hAnsi="Arial" w:cs="Arial"/>
                <w:color w:val="264A60"/>
                <w:sz w:val="18"/>
                <w:szCs w:val="18"/>
              </w:rPr>
            </w:pPr>
          </w:p>
        </w:tc>
      </w:tr>
      <w:tr w:rsidR="008E0D61" w:rsidRPr="000B583B" w:rsidTr="006B4869">
        <w:trPr>
          <w:gridAfter w:val="1"/>
          <w:wAfter w:w="3895" w:type="dxa"/>
          <w:cantSplit/>
        </w:trPr>
        <w:tc>
          <w:tcPr>
            <w:tcW w:w="284" w:type="dxa"/>
            <w:vMerge w:val="restart"/>
            <w:tcBorders>
              <w:top w:val="single" w:sz="8" w:space="0" w:color="152935"/>
              <w:left w:val="nil"/>
              <w:bottom w:val="single" w:sz="8" w:space="0" w:color="152935"/>
              <w:right w:val="nil"/>
            </w:tcBorders>
            <w:shd w:val="clear" w:color="auto" w:fill="E0E0E0"/>
          </w:tcPr>
          <w:p w:rsidR="008E0D61" w:rsidRPr="000B583B" w:rsidRDefault="008E0D61"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1</w:t>
            </w:r>
          </w:p>
        </w:tc>
        <w:tc>
          <w:tcPr>
            <w:tcW w:w="992" w:type="dxa"/>
            <w:tcBorders>
              <w:top w:val="single" w:sz="8" w:space="0" w:color="152935"/>
              <w:left w:val="nil"/>
              <w:bottom w:val="single" w:sz="8" w:space="0" w:color="AEAEAE"/>
              <w:right w:val="nil"/>
            </w:tcBorders>
            <w:shd w:val="clear" w:color="auto" w:fill="E0E0E0"/>
          </w:tcPr>
          <w:p w:rsidR="008E0D61" w:rsidRPr="000B583B" w:rsidRDefault="008E0D61"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(Constant)</w:t>
            </w:r>
          </w:p>
        </w:tc>
        <w:tc>
          <w:tcPr>
            <w:tcW w:w="851" w:type="dxa"/>
            <w:tcBorders>
              <w:top w:val="single" w:sz="8" w:space="0" w:color="152935"/>
              <w:left w:val="nil"/>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-24,665</w:t>
            </w:r>
          </w:p>
        </w:tc>
        <w:tc>
          <w:tcPr>
            <w:tcW w:w="992" w:type="dxa"/>
            <w:tcBorders>
              <w:top w:val="single" w:sz="8" w:space="0" w:color="152935"/>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5,634</w:t>
            </w:r>
          </w:p>
        </w:tc>
        <w:tc>
          <w:tcPr>
            <w:tcW w:w="1276"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8E0D61" w:rsidRPr="000B583B" w:rsidRDefault="008E0D61" w:rsidP="00242B48">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-4,378</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,000</w:t>
            </w:r>
          </w:p>
        </w:tc>
      </w:tr>
      <w:tr w:rsidR="008E0D61" w:rsidRPr="000B583B" w:rsidTr="006B4869">
        <w:trPr>
          <w:gridAfter w:val="1"/>
          <w:wAfter w:w="3895" w:type="dxa"/>
          <w:cantSplit/>
        </w:trPr>
        <w:tc>
          <w:tcPr>
            <w:tcW w:w="284" w:type="dxa"/>
            <w:vMerge/>
            <w:tcBorders>
              <w:top w:val="single" w:sz="8" w:space="0" w:color="152935"/>
              <w:left w:val="nil"/>
              <w:bottom w:val="single" w:sz="8" w:space="0" w:color="152935"/>
              <w:right w:val="nil"/>
            </w:tcBorders>
            <w:shd w:val="clear" w:color="auto" w:fill="E0E0E0"/>
          </w:tcPr>
          <w:p w:rsidR="008E0D61" w:rsidRPr="000B583B" w:rsidRDefault="008E0D61" w:rsidP="00242B48">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8" w:space="0" w:color="AEAEAE"/>
              <w:left w:val="nil"/>
              <w:bottom w:val="single" w:sz="8" w:space="0" w:color="AEAEAE"/>
              <w:right w:val="nil"/>
            </w:tcBorders>
            <w:shd w:val="clear" w:color="auto" w:fill="E0E0E0"/>
          </w:tcPr>
          <w:p w:rsidR="008E0D61" w:rsidRPr="000B583B" w:rsidRDefault="008E0D61"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LnBV</w:t>
            </w:r>
          </w:p>
        </w:tc>
        <w:tc>
          <w:tcPr>
            <w:tcW w:w="851" w:type="dxa"/>
            <w:tcBorders>
              <w:top w:val="single" w:sz="8" w:space="0" w:color="AEAEAE"/>
              <w:left w:val="nil"/>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,796</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,189</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,291</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4,224</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,000</w:t>
            </w:r>
          </w:p>
        </w:tc>
      </w:tr>
      <w:tr w:rsidR="008E0D61" w:rsidRPr="000B583B" w:rsidTr="006B4869">
        <w:trPr>
          <w:gridAfter w:val="1"/>
          <w:wAfter w:w="3895" w:type="dxa"/>
          <w:cantSplit/>
        </w:trPr>
        <w:tc>
          <w:tcPr>
            <w:tcW w:w="284" w:type="dxa"/>
            <w:vMerge/>
            <w:tcBorders>
              <w:top w:val="single" w:sz="8" w:space="0" w:color="152935"/>
              <w:left w:val="nil"/>
              <w:bottom w:val="single" w:sz="8" w:space="0" w:color="152935"/>
              <w:right w:val="nil"/>
            </w:tcBorders>
            <w:shd w:val="clear" w:color="auto" w:fill="E0E0E0"/>
          </w:tcPr>
          <w:p w:rsidR="008E0D61" w:rsidRPr="000B583B" w:rsidRDefault="008E0D61" w:rsidP="00242B48">
            <w:pPr>
              <w:autoSpaceDE w:val="0"/>
              <w:autoSpaceDN w:val="0"/>
              <w:adjustRightInd w:val="0"/>
              <w:spacing w:after="0" w:line="240" w:lineRule="auto"/>
              <w:rPr>
                <w:rFonts w:ascii="Arial" w:hAnsi="Arial" w:cs="Arial"/>
                <w:color w:val="010205"/>
                <w:sz w:val="18"/>
                <w:szCs w:val="18"/>
              </w:rPr>
            </w:pPr>
          </w:p>
        </w:tc>
        <w:tc>
          <w:tcPr>
            <w:tcW w:w="992" w:type="dxa"/>
            <w:tcBorders>
              <w:top w:val="single" w:sz="8" w:space="0" w:color="AEAEAE"/>
              <w:left w:val="nil"/>
              <w:bottom w:val="single" w:sz="8" w:space="0" w:color="AEAEAE"/>
              <w:right w:val="nil"/>
            </w:tcBorders>
            <w:shd w:val="clear" w:color="auto" w:fill="E0E0E0"/>
          </w:tcPr>
          <w:p w:rsidR="008E0D61" w:rsidRPr="000B583B" w:rsidRDefault="00BD519E" w:rsidP="00242B48">
            <w:pPr>
              <w:autoSpaceDE w:val="0"/>
              <w:autoSpaceDN w:val="0"/>
              <w:adjustRightInd w:val="0"/>
              <w:spacing w:after="0" w:line="320" w:lineRule="atLeast"/>
              <w:ind w:left="60" w:right="60"/>
              <w:rPr>
                <w:rFonts w:ascii="Arial" w:hAnsi="Arial" w:cs="Arial"/>
                <w:color w:val="264A60"/>
                <w:sz w:val="18"/>
                <w:szCs w:val="18"/>
              </w:rPr>
            </w:pPr>
            <w:r>
              <w:rPr>
                <w:rFonts w:ascii="Arial" w:hAnsi="Arial" w:cs="Arial"/>
                <w:color w:val="264A60"/>
                <w:sz w:val="18"/>
                <w:szCs w:val="18"/>
              </w:rPr>
              <w:t>D</w:t>
            </w:r>
            <w:r w:rsidR="008E0D61" w:rsidRPr="000B583B">
              <w:rPr>
                <w:rFonts w:ascii="Arial" w:hAnsi="Arial" w:cs="Arial"/>
                <w:color w:val="264A60"/>
                <w:sz w:val="18"/>
                <w:szCs w:val="18"/>
              </w:rPr>
              <w:t>R</w:t>
            </w:r>
          </w:p>
        </w:tc>
        <w:tc>
          <w:tcPr>
            <w:tcW w:w="851" w:type="dxa"/>
            <w:tcBorders>
              <w:top w:val="single" w:sz="8" w:space="0" w:color="AEAEAE"/>
              <w:left w:val="nil"/>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4,754</w:t>
            </w:r>
          </w:p>
        </w:tc>
        <w:tc>
          <w:tcPr>
            <w:tcW w:w="992"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1,988</w:t>
            </w:r>
          </w:p>
        </w:tc>
        <w:tc>
          <w:tcPr>
            <w:tcW w:w="1276"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,163</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2,391</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,018</w:t>
            </w:r>
          </w:p>
        </w:tc>
      </w:tr>
      <w:tr w:rsidR="008E0D61" w:rsidRPr="000B583B" w:rsidTr="006B4869">
        <w:trPr>
          <w:gridAfter w:val="1"/>
          <w:wAfter w:w="3895" w:type="dxa"/>
          <w:cantSplit/>
        </w:trPr>
        <w:tc>
          <w:tcPr>
            <w:tcW w:w="284" w:type="dxa"/>
            <w:vMerge/>
            <w:tcBorders>
              <w:top w:val="single" w:sz="8" w:space="0" w:color="152935"/>
              <w:left w:val="nil"/>
              <w:bottom w:val="single" w:sz="8" w:space="0" w:color="152935"/>
              <w:right w:val="nil"/>
            </w:tcBorders>
            <w:shd w:val="clear" w:color="auto" w:fill="E0E0E0"/>
          </w:tcPr>
          <w:p w:rsidR="008E0D61" w:rsidRPr="000B583B" w:rsidRDefault="008E0D61" w:rsidP="00242B48">
            <w:pPr>
              <w:autoSpaceDE w:val="0"/>
              <w:autoSpaceDN w:val="0"/>
              <w:adjustRightInd w:val="0"/>
              <w:spacing w:after="0" w:line="240" w:lineRule="auto"/>
              <w:rPr>
                <w:rFonts w:ascii="Arial" w:hAnsi="Arial" w:cs="Arial"/>
                <w:color w:val="010205"/>
                <w:sz w:val="18"/>
                <w:szCs w:val="18"/>
              </w:rPr>
            </w:pPr>
          </w:p>
        </w:tc>
        <w:tc>
          <w:tcPr>
            <w:tcW w:w="992" w:type="dxa"/>
            <w:tcBorders>
              <w:top w:val="single" w:sz="8" w:space="0" w:color="AEAEAE"/>
              <w:left w:val="nil"/>
              <w:bottom w:val="single" w:sz="8" w:space="0" w:color="152935"/>
              <w:right w:val="nil"/>
            </w:tcBorders>
            <w:shd w:val="clear" w:color="auto" w:fill="E0E0E0"/>
          </w:tcPr>
          <w:p w:rsidR="008E0D61" w:rsidRPr="000B583B" w:rsidRDefault="008E0D61" w:rsidP="00242B48">
            <w:pPr>
              <w:autoSpaceDE w:val="0"/>
              <w:autoSpaceDN w:val="0"/>
              <w:adjustRightInd w:val="0"/>
              <w:spacing w:after="0" w:line="320" w:lineRule="atLeast"/>
              <w:ind w:left="60" w:right="60"/>
              <w:rPr>
                <w:rFonts w:ascii="Arial" w:hAnsi="Arial" w:cs="Arial"/>
                <w:color w:val="264A60"/>
                <w:sz w:val="18"/>
                <w:szCs w:val="18"/>
              </w:rPr>
            </w:pPr>
            <w:r w:rsidRPr="000B583B">
              <w:rPr>
                <w:rFonts w:ascii="Arial" w:hAnsi="Arial" w:cs="Arial"/>
                <w:color w:val="264A60"/>
                <w:sz w:val="18"/>
                <w:szCs w:val="18"/>
              </w:rPr>
              <w:t>ROA</w:t>
            </w:r>
          </w:p>
        </w:tc>
        <w:tc>
          <w:tcPr>
            <w:tcW w:w="851" w:type="dxa"/>
            <w:tcBorders>
              <w:top w:val="single" w:sz="8" w:space="0" w:color="AEAEAE"/>
              <w:left w:val="nil"/>
              <w:bottom w:val="single" w:sz="8" w:space="0" w:color="152935"/>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19,616</w:t>
            </w:r>
          </w:p>
        </w:tc>
        <w:tc>
          <w:tcPr>
            <w:tcW w:w="992" w:type="dxa"/>
            <w:tcBorders>
              <w:top w:val="single" w:sz="8" w:space="0" w:color="AEAEAE"/>
              <w:left w:val="single" w:sz="8" w:space="0" w:color="E0E0E0"/>
              <w:bottom w:val="single" w:sz="8" w:space="0" w:color="152935"/>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2,656</w:t>
            </w:r>
          </w:p>
        </w:tc>
        <w:tc>
          <w:tcPr>
            <w:tcW w:w="1276" w:type="dxa"/>
            <w:tcBorders>
              <w:top w:val="single" w:sz="8" w:space="0" w:color="AEAEAE"/>
              <w:left w:val="single" w:sz="8" w:space="0" w:color="E0E0E0"/>
              <w:bottom w:val="single" w:sz="8" w:space="0" w:color="152935"/>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,508</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7,386</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8E0D61" w:rsidRPr="000B583B" w:rsidRDefault="008E0D61" w:rsidP="00242B48">
            <w:pPr>
              <w:autoSpaceDE w:val="0"/>
              <w:autoSpaceDN w:val="0"/>
              <w:adjustRightInd w:val="0"/>
              <w:spacing w:after="0" w:line="320" w:lineRule="atLeast"/>
              <w:ind w:left="60" w:right="60"/>
              <w:jc w:val="right"/>
              <w:rPr>
                <w:rFonts w:ascii="Arial" w:hAnsi="Arial" w:cs="Arial"/>
                <w:color w:val="010205"/>
                <w:sz w:val="18"/>
                <w:szCs w:val="18"/>
              </w:rPr>
            </w:pPr>
            <w:r w:rsidRPr="000B583B">
              <w:rPr>
                <w:rFonts w:ascii="Arial" w:hAnsi="Arial" w:cs="Arial"/>
                <w:color w:val="010205"/>
                <w:sz w:val="18"/>
                <w:szCs w:val="18"/>
              </w:rPr>
              <w:t>,000</w:t>
            </w:r>
          </w:p>
        </w:tc>
      </w:tr>
      <w:tr w:rsidR="00B564D7" w:rsidRPr="000B583B" w:rsidTr="00B564D7">
        <w:trPr>
          <w:cantSplit/>
        </w:trPr>
        <w:tc>
          <w:tcPr>
            <w:tcW w:w="9991" w:type="dxa"/>
            <w:gridSpan w:val="8"/>
            <w:tcBorders>
              <w:top w:val="nil"/>
              <w:left w:val="nil"/>
              <w:bottom w:val="nil"/>
              <w:right w:val="nil"/>
            </w:tcBorders>
            <w:shd w:val="clear" w:color="auto" w:fill="FFFFFF"/>
          </w:tcPr>
          <w:p w:rsidR="00B564D7" w:rsidRDefault="00B564D7" w:rsidP="008E0D61">
            <w:pPr>
              <w:autoSpaceDE w:val="0"/>
              <w:autoSpaceDN w:val="0"/>
              <w:adjustRightInd w:val="0"/>
              <w:spacing w:after="0" w:line="240" w:lineRule="auto"/>
              <w:ind w:left="60" w:right="60"/>
              <w:rPr>
                <w:rFonts w:ascii="Arial" w:hAnsi="Arial" w:cs="Arial"/>
                <w:color w:val="010205"/>
                <w:sz w:val="18"/>
                <w:szCs w:val="18"/>
              </w:rPr>
            </w:pPr>
            <w:r w:rsidRPr="000B583B">
              <w:rPr>
                <w:rFonts w:ascii="Arial" w:hAnsi="Arial" w:cs="Arial"/>
                <w:color w:val="010205"/>
                <w:sz w:val="18"/>
                <w:szCs w:val="18"/>
              </w:rPr>
              <w:t>a. Dependent Variable: TQ</w:t>
            </w:r>
          </w:p>
          <w:p w:rsidR="008E0D61" w:rsidRPr="000B583B" w:rsidRDefault="008E0D61" w:rsidP="008E0D61">
            <w:pPr>
              <w:autoSpaceDE w:val="0"/>
              <w:autoSpaceDN w:val="0"/>
              <w:adjustRightInd w:val="0"/>
              <w:spacing w:after="0" w:line="240" w:lineRule="auto"/>
              <w:ind w:left="60" w:right="60"/>
              <w:rPr>
                <w:rFonts w:ascii="Arial" w:hAnsi="Arial" w:cs="Arial"/>
                <w:color w:val="010205"/>
                <w:sz w:val="18"/>
                <w:szCs w:val="18"/>
              </w:rPr>
            </w:pPr>
          </w:p>
        </w:tc>
      </w:tr>
    </w:tbl>
    <w:p w:rsidR="00496E1C" w:rsidRDefault="00D75AEF" w:rsidP="008E0D61">
      <w:pPr>
        <w:autoSpaceDE w:val="0"/>
        <w:autoSpaceDN w:val="0"/>
        <w:adjustRightInd w:val="0"/>
        <w:spacing w:after="0" w:line="240" w:lineRule="auto"/>
        <w:rPr>
          <w:rFonts w:ascii="Times New Roman" w:hAnsi="Times New Roman" w:cs="Times New Roman"/>
          <w:bCs/>
          <w:color w:val="010205"/>
          <w:sz w:val="24"/>
        </w:rPr>
      </w:pPr>
      <w:r>
        <w:rPr>
          <w:rFonts w:ascii="Times New Roman" w:hAnsi="Times New Roman" w:cs="Times New Roman"/>
          <w:sz w:val="24"/>
          <w:szCs w:val="24"/>
        </w:rPr>
        <w:t xml:space="preserve">Tabel 4. </w:t>
      </w:r>
      <w:r w:rsidRPr="008E0D61">
        <w:rPr>
          <w:rFonts w:ascii="Times New Roman" w:hAnsi="Times New Roman" w:cs="Times New Roman"/>
          <w:bCs/>
          <w:color w:val="010205"/>
          <w:sz w:val="24"/>
        </w:rPr>
        <w:t>Coefficients</w:t>
      </w:r>
      <w:r w:rsidRPr="008E0D61">
        <w:rPr>
          <w:rFonts w:ascii="Times New Roman" w:hAnsi="Times New Roman" w:cs="Times New Roman"/>
          <w:bCs/>
          <w:color w:val="010205"/>
          <w:sz w:val="24"/>
          <w:vertAlign w:val="superscript"/>
        </w:rPr>
        <w:t>a</w:t>
      </w:r>
    </w:p>
    <w:p w:rsidR="008E0D61" w:rsidRPr="008E0D61" w:rsidRDefault="008E0D61" w:rsidP="008E0D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Cs/>
          <w:color w:val="010205"/>
          <w:sz w:val="24"/>
        </w:rPr>
        <w:t>Sumber: data diolah</w:t>
      </w:r>
    </w:p>
    <w:p w:rsidR="00496E1C" w:rsidRDefault="00496E1C" w:rsidP="00496E1C">
      <w:pPr>
        <w:autoSpaceDE w:val="0"/>
        <w:autoSpaceDN w:val="0"/>
        <w:adjustRightInd w:val="0"/>
        <w:spacing w:after="0" w:line="240" w:lineRule="auto"/>
        <w:rPr>
          <w:rFonts w:ascii="Arial" w:hAnsi="Arial" w:cs="Arial"/>
          <w:b/>
          <w:bCs/>
          <w:color w:val="000000"/>
          <w:sz w:val="26"/>
          <w:szCs w:val="26"/>
        </w:rPr>
      </w:pPr>
    </w:p>
    <w:p w:rsidR="00496E1C" w:rsidRDefault="00FD28E5" w:rsidP="00BD51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color w:val="010205"/>
          <w:sz w:val="24"/>
          <w:szCs w:val="24"/>
        </w:rPr>
        <w:t>Adapun pengaruh ekuitas merek, struktur modal dan profitabilitas secara parsial terhadap nilai perusahaan dapat dilihat pada tabel 4. Temuan yang ditunjukkan pada tabel 4 adalah ekuitas merek, struktur modal dan profitabilitas secara parsial berpengaruh signifikan terhadap nilai perusahaan karena masing-masing memiliki tingkat signifikansi yang di bawah 5%. Artinya ekuitas merek, struktur modal dan profitabilitas secara parsial dapat digunakan untuk memprediksikan nilai perusahaan.</w:t>
      </w:r>
    </w:p>
    <w:p w:rsidR="00BD519E" w:rsidRPr="00BD519E" w:rsidRDefault="00BD519E" w:rsidP="00BD519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Berdasarkan tabel 4 diketahui juga bahwa profitabilitas memiliki pengaruh yang paling dominan dibandingkan ekuitas merek dan struktur modal karena memiliki nilai beta yang paling besar, yaitu sebesar 0,508.</w:t>
      </w:r>
    </w:p>
    <w:p w:rsidR="00B64E16" w:rsidRDefault="00B64E16" w:rsidP="00B64E16">
      <w:pPr>
        <w:spacing w:after="0" w:line="240" w:lineRule="auto"/>
        <w:jc w:val="both"/>
        <w:rPr>
          <w:rFonts w:ascii="Times New Roman" w:hAnsi="Times New Roman" w:cs="Times New Roman"/>
          <w:b/>
          <w:iCs/>
          <w:sz w:val="24"/>
          <w:szCs w:val="24"/>
        </w:rPr>
      </w:pPr>
    </w:p>
    <w:p w:rsidR="00B64E16" w:rsidRDefault="00B64E16" w:rsidP="00B64E1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Diskusi dan Penutup</w:t>
      </w:r>
    </w:p>
    <w:p w:rsidR="00A55D58" w:rsidRDefault="00341AEA" w:rsidP="00341AE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Penelitian yang dilakukan pada perusahaan sektor barang konsumsi yang terdaftar pada Bursa Efek Indonesia tahun 2012-2017 ini bertujuan untuk menguji nilai strategis ekuitas merek bagi perusahaan. Berdasarkan hasil analisis yang telah dilakukan diketahui bahwa ekuitas merek bersama-sama dengan struktur modal dan profitabilitas berpengaruh signifikan terhadap nilai per</w:t>
      </w:r>
      <w:r w:rsidR="00877105">
        <w:rPr>
          <w:rFonts w:ascii="Times New Roman" w:hAnsi="Times New Roman" w:cs="Times New Roman"/>
          <w:iCs/>
          <w:sz w:val="24"/>
          <w:szCs w:val="24"/>
        </w:rPr>
        <w:t>u</w:t>
      </w:r>
      <w:r>
        <w:rPr>
          <w:rFonts w:ascii="Times New Roman" w:hAnsi="Times New Roman" w:cs="Times New Roman"/>
          <w:iCs/>
          <w:sz w:val="24"/>
          <w:szCs w:val="24"/>
        </w:rPr>
        <w:t>sahaa</w:t>
      </w:r>
      <w:r w:rsidR="00877105">
        <w:rPr>
          <w:rFonts w:ascii="Times New Roman" w:hAnsi="Times New Roman" w:cs="Times New Roman"/>
          <w:iCs/>
          <w:sz w:val="24"/>
          <w:szCs w:val="24"/>
        </w:rPr>
        <w:t xml:space="preserve">n. Hal ini berarti ekuitas merek </w:t>
      </w:r>
      <w:r w:rsidR="00877105">
        <w:rPr>
          <w:rFonts w:ascii="Times New Roman" w:hAnsi="Times New Roman" w:cs="Times New Roman"/>
          <w:iCs/>
          <w:sz w:val="24"/>
          <w:szCs w:val="24"/>
        </w:rPr>
        <w:t>bersama-sama dengan struktur modal dan profitabilitas</w:t>
      </w:r>
      <w:r w:rsidR="00877105">
        <w:rPr>
          <w:rFonts w:ascii="Times New Roman" w:hAnsi="Times New Roman" w:cs="Times New Roman"/>
          <w:iCs/>
          <w:sz w:val="24"/>
          <w:szCs w:val="24"/>
        </w:rPr>
        <w:t xml:space="preserve"> sangat penting dalam meningkatkan nilai perusahaan, sehingga perlu men</w:t>
      </w:r>
      <w:r w:rsidR="0043725F">
        <w:rPr>
          <w:rFonts w:ascii="Times New Roman" w:hAnsi="Times New Roman" w:cs="Times New Roman"/>
          <w:iCs/>
          <w:sz w:val="24"/>
          <w:szCs w:val="24"/>
        </w:rPr>
        <w:t>jadi pertimbangan bagi investor.</w:t>
      </w:r>
    </w:p>
    <w:p w:rsidR="0043725F" w:rsidRDefault="0043725F" w:rsidP="00341AE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Ekuitas merek, secara parsial, berpengaruh signifikan terhadap nilai perusahaan.</w:t>
      </w:r>
      <w:r w:rsidR="002B7B23">
        <w:rPr>
          <w:rFonts w:ascii="Times New Roman" w:hAnsi="Times New Roman" w:cs="Times New Roman"/>
          <w:iCs/>
          <w:sz w:val="24"/>
          <w:szCs w:val="24"/>
        </w:rPr>
        <w:t xml:space="preserve"> Hal ini sesuai dengan </w:t>
      </w:r>
      <w:r w:rsidR="002B7B23">
        <w:rPr>
          <w:rFonts w:ascii="Times New Roman" w:hAnsi="Times New Roman" w:cs="Times New Roman"/>
          <w:i/>
          <w:iCs/>
          <w:sz w:val="24"/>
          <w:szCs w:val="24"/>
        </w:rPr>
        <w:t>signaling theory</w:t>
      </w:r>
      <w:r w:rsidR="002B7B23">
        <w:rPr>
          <w:rFonts w:ascii="Times New Roman" w:hAnsi="Times New Roman" w:cs="Times New Roman"/>
          <w:iCs/>
          <w:sz w:val="24"/>
          <w:szCs w:val="24"/>
        </w:rPr>
        <w:t xml:space="preserve">, di mana perusahaan dengan ekuitas merek yang tinggi merupakan sinyal bahwa kondisi perusahaan yang baik juga. Kondisi perusahaan yang baik ini kemudian direspon positif oleh investor dengan cara bersedia membeli saham dengan harga yang tinggi sehingga nilai perusahaan menjadi meningkat. Hasil penelitian ini sesuai dengan penelitian yang dilakukan oleh </w:t>
      </w:r>
      <w:r w:rsidR="002B7B23" w:rsidRPr="006F2855">
        <w:rPr>
          <w:rFonts w:ascii="Times New Roman" w:hAnsi="Times New Roman" w:cs="Times New Roman"/>
          <w:iCs/>
          <w:sz w:val="24"/>
          <w:szCs w:val="24"/>
        </w:rPr>
        <w:t>Wang</w:t>
      </w:r>
      <w:r w:rsidR="002B7B23">
        <w:rPr>
          <w:rFonts w:ascii="Times New Roman" w:hAnsi="Times New Roman" w:cs="Times New Roman"/>
          <w:iCs/>
          <w:sz w:val="24"/>
          <w:szCs w:val="24"/>
        </w:rPr>
        <w:t>,</w:t>
      </w:r>
      <w:r w:rsidR="002B7B23" w:rsidRPr="006F2855">
        <w:rPr>
          <w:rFonts w:ascii="Times New Roman" w:hAnsi="Times New Roman" w:cs="Times New Roman"/>
          <w:iCs/>
          <w:sz w:val="24"/>
          <w:szCs w:val="24"/>
        </w:rPr>
        <w:t xml:space="preserve"> et al. </w:t>
      </w:r>
      <w:r w:rsidR="002B7B23">
        <w:rPr>
          <w:rFonts w:ascii="Times New Roman" w:hAnsi="Times New Roman" w:cs="Times New Roman"/>
          <w:iCs/>
          <w:sz w:val="24"/>
          <w:szCs w:val="24"/>
        </w:rPr>
        <w:t>(</w:t>
      </w:r>
      <w:r w:rsidR="002B7B23" w:rsidRPr="006F2855">
        <w:rPr>
          <w:rFonts w:ascii="Times New Roman" w:hAnsi="Times New Roman" w:cs="Times New Roman"/>
          <w:iCs/>
          <w:sz w:val="24"/>
          <w:szCs w:val="24"/>
        </w:rPr>
        <w:t>2015</w:t>
      </w:r>
      <w:r w:rsidR="002B7B23">
        <w:rPr>
          <w:rFonts w:ascii="Times New Roman" w:hAnsi="Times New Roman" w:cs="Times New Roman"/>
          <w:iCs/>
          <w:sz w:val="24"/>
          <w:szCs w:val="24"/>
        </w:rPr>
        <w:t>)</w:t>
      </w:r>
      <w:r w:rsidR="002B7B23" w:rsidRPr="006F2855">
        <w:rPr>
          <w:rFonts w:ascii="Times New Roman" w:hAnsi="Times New Roman" w:cs="Times New Roman"/>
          <w:iCs/>
          <w:sz w:val="24"/>
          <w:szCs w:val="24"/>
        </w:rPr>
        <w:t xml:space="preserve"> serta Arora </w:t>
      </w:r>
      <w:r w:rsidR="002B7B23" w:rsidRPr="006F2855">
        <w:rPr>
          <w:rFonts w:ascii="Times New Roman" w:hAnsi="Times New Roman" w:cs="Times New Roman"/>
          <w:i/>
          <w:iCs/>
          <w:sz w:val="24"/>
          <w:szCs w:val="24"/>
        </w:rPr>
        <w:t>and</w:t>
      </w:r>
      <w:r w:rsidR="002B7B23">
        <w:rPr>
          <w:rFonts w:ascii="Times New Roman" w:hAnsi="Times New Roman" w:cs="Times New Roman"/>
          <w:iCs/>
          <w:sz w:val="24"/>
          <w:szCs w:val="24"/>
        </w:rPr>
        <w:t xml:space="preserve"> Chaudhany </w:t>
      </w:r>
      <w:r w:rsidR="002B7B23">
        <w:rPr>
          <w:rFonts w:ascii="Times New Roman" w:hAnsi="Times New Roman" w:cs="Times New Roman"/>
          <w:iCs/>
          <w:sz w:val="24"/>
          <w:szCs w:val="24"/>
        </w:rPr>
        <w:t>(</w:t>
      </w:r>
      <w:r w:rsidR="002B7B23" w:rsidRPr="006F2855">
        <w:rPr>
          <w:rFonts w:ascii="Times New Roman" w:hAnsi="Times New Roman" w:cs="Times New Roman"/>
          <w:iCs/>
          <w:sz w:val="24"/>
          <w:szCs w:val="24"/>
        </w:rPr>
        <w:t>2016</w:t>
      </w:r>
      <w:r w:rsidR="002B7B23">
        <w:rPr>
          <w:rFonts w:ascii="Times New Roman" w:hAnsi="Times New Roman" w:cs="Times New Roman"/>
          <w:iCs/>
          <w:sz w:val="24"/>
          <w:szCs w:val="24"/>
        </w:rPr>
        <w:t>) di mana ekuitas merek berpengaruh signifikan terhadap nilai perusahaan.</w:t>
      </w:r>
    </w:p>
    <w:p w:rsidR="002B7B23" w:rsidRDefault="002B7B23" w:rsidP="00341AEA">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Penelitian ini menggunakan struktur modal dan profitabilitas sebagai variabel kontrol. Hasil analisis regresi menunjukkan bahwa struktur modal dan profitabilitas secara parsial juga berpengaruh secara signifikan terhadap nilai perusahaan. Hasil temuan ini memperkuat </w:t>
      </w:r>
      <w:r w:rsidRPr="00E00A3B">
        <w:rPr>
          <w:rFonts w:ascii="Times New Roman" w:hAnsi="Times New Roman" w:cs="Times New Roman"/>
          <w:sz w:val="24"/>
          <w:szCs w:val="24"/>
        </w:rPr>
        <w:t xml:space="preserve">teori Modigliani </w:t>
      </w:r>
      <w:r w:rsidRPr="00E00A3B">
        <w:rPr>
          <w:rFonts w:ascii="Times New Roman" w:hAnsi="Times New Roman" w:cs="Times New Roman"/>
          <w:i/>
          <w:sz w:val="24"/>
          <w:szCs w:val="24"/>
        </w:rPr>
        <w:t>and</w:t>
      </w:r>
      <w:r w:rsidRPr="00E00A3B">
        <w:rPr>
          <w:rFonts w:ascii="Times New Roman" w:hAnsi="Times New Roman" w:cs="Times New Roman"/>
          <w:sz w:val="24"/>
          <w:szCs w:val="24"/>
        </w:rPr>
        <w:t xml:space="preserve"> Miller (1963)</w:t>
      </w:r>
      <w:r>
        <w:rPr>
          <w:rFonts w:ascii="Times New Roman" w:hAnsi="Times New Roman" w:cs="Times New Roman"/>
          <w:sz w:val="24"/>
          <w:szCs w:val="24"/>
        </w:rPr>
        <w:t xml:space="preserve"> di mana struktur modal dan profitabilitas bisa meningkatkan nilai perusahaan.</w:t>
      </w:r>
    </w:p>
    <w:p w:rsidR="006D1558" w:rsidRPr="002B7B23" w:rsidRDefault="006D1558" w:rsidP="00341AEA">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lastRenderedPageBreak/>
        <w:t xml:space="preserve">Temuan pada penelitian ini juga menunjukkan bahwa profitabilitas merupakan variabel yang paling dominan mempengaruhi nilai perusahaan daripada ekuitas merek dan struktur modal. Hal ini menunjukkan bahwa investor lebih mengapresiasi profitabilitas yang telah dihasilkan oleh perusahaan </w:t>
      </w:r>
      <w:r>
        <w:rPr>
          <w:rFonts w:ascii="Times New Roman" w:hAnsi="Times New Roman" w:cs="Times New Roman"/>
          <w:iCs/>
          <w:sz w:val="24"/>
          <w:szCs w:val="24"/>
        </w:rPr>
        <w:t>daripada ekuitas merek dan struktur modal</w:t>
      </w:r>
      <w:r>
        <w:rPr>
          <w:rFonts w:ascii="Times New Roman" w:hAnsi="Times New Roman" w:cs="Times New Roman"/>
          <w:iCs/>
          <w:sz w:val="24"/>
          <w:szCs w:val="24"/>
        </w:rPr>
        <w:t xml:space="preserve">, karena </w:t>
      </w:r>
      <w:r w:rsidRPr="009D013D">
        <w:rPr>
          <w:rFonts w:ascii="Times New Roman" w:hAnsi="Times New Roman" w:cs="Times New Roman"/>
          <w:sz w:val="24"/>
          <w:szCs w:val="24"/>
        </w:rPr>
        <w:t>profitabilitas yang tinggi maka akan meningkatkan aliran kas dari laba operasi untuk pemiliki perusahaan. Peningkatan aliran kas ini bermakna meningkatnya ketersediaan kas untuk pemilik perusahaan. Ketersediaan kas untuk pemilik perusahaan ini nantinya bisa saja dibagikan ke dalam dividen atau ditahan dalam perusahaan untuk pengembangan bisnis lebih lanjut.</w:t>
      </w:r>
      <w:r>
        <w:rPr>
          <w:rFonts w:ascii="Times New Roman" w:hAnsi="Times New Roman" w:cs="Times New Roman"/>
          <w:iCs/>
          <w:sz w:val="24"/>
          <w:szCs w:val="24"/>
        </w:rPr>
        <w:t xml:space="preserve"> </w:t>
      </w:r>
    </w:p>
    <w:p w:rsidR="00BD519E" w:rsidRDefault="00BD519E" w:rsidP="00B64E16">
      <w:pPr>
        <w:spacing w:after="0" w:line="240" w:lineRule="auto"/>
        <w:jc w:val="both"/>
        <w:rPr>
          <w:rFonts w:ascii="Times New Roman" w:hAnsi="Times New Roman" w:cs="Times New Roman"/>
          <w:b/>
          <w:iCs/>
          <w:sz w:val="24"/>
          <w:szCs w:val="24"/>
        </w:rPr>
      </w:pPr>
    </w:p>
    <w:p w:rsidR="00A55D58" w:rsidRDefault="00A55D58" w:rsidP="00B64E16">
      <w:pPr>
        <w:spacing w:after="0" w:line="240" w:lineRule="auto"/>
        <w:jc w:val="both"/>
        <w:rPr>
          <w:rFonts w:ascii="Times New Roman" w:hAnsi="Times New Roman" w:cs="Times New Roman"/>
          <w:b/>
          <w:iCs/>
          <w:sz w:val="24"/>
          <w:szCs w:val="24"/>
        </w:rPr>
      </w:pPr>
      <w:r>
        <w:rPr>
          <w:rFonts w:ascii="Times New Roman" w:hAnsi="Times New Roman" w:cs="Times New Roman"/>
          <w:b/>
          <w:iCs/>
          <w:sz w:val="24"/>
          <w:szCs w:val="24"/>
        </w:rPr>
        <w:t xml:space="preserve">Referensi </w:t>
      </w:r>
    </w:p>
    <w:p w:rsidR="004C2319" w:rsidRPr="004B1C3E" w:rsidRDefault="004C2319" w:rsidP="004C2319">
      <w:pPr>
        <w:pStyle w:val="Default"/>
        <w:ind w:left="709" w:hanging="709"/>
        <w:jc w:val="both"/>
        <w:rPr>
          <w:i/>
          <w:color w:val="auto"/>
          <w:lang w:val="id-ID"/>
        </w:rPr>
      </w:pPr>
      <w:r w:rsidRPr="004B1C3E">
        <w:rPr>
          <w:color w:val="auto"/>
          <w:lang w:val="id-ID"/>
        </w:rPr>
        <w:t>Aaker, D. A. (1991). “</w:t>
      </w:r>
      <w:r w:rsidRPr="004B1C3E">
        <w:rPr>
          <w:iCs/>
          <w:color w:val="auto"/>
          <w:lang w:val="id-ID"/>
        </w:rPr>
        <w:t>Managing brand equity: Capitalizing on the Value of a Brand Name</w:t>
      </w:r>
      <w:r w:rsidRPr="004B1C3E">
        <w:rPr>
          <w:color w:val="auto"/>
          <w:lang w:val="id-ID"/>
        </w:rPr>
        <w:t xml:space="preserve">.” </w:t>
      </w:r>
      <w:r w:rsidRPr="004B1C3E">
        <w:rPr>
          <w:i/>
          <w:color w:val="auto"/>
          <w:lang w:val="id-ID"/>
        </w:rPr>
        <w:t>New York: Free Press.</w:t>
      </w:r>
    </w:p>
    <w:p w:rsidR="00F604C9" w:rsidRPr="004B1C3E" w:rsidRDefault="00F604C9" w:rsidP="00F604C9">
      <w:pPr>
        <w:autoSpaceDE w:val="0"/>
        <w:autoSpaceDN w:val="0"/>
        <w:adjustRightInd w:val="0"/>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 xml:space="preserve">Akit, F.M., Nor Haliza Hamzah and Noryati Ahmad. 2015. “Impact of Dividend Policy on the Shareholders’ Wealth: Shariah vs Non -Shariah Companies.” </w:t>
      </w:r>
      <w:r w:rsidRPr="004B1C3E">
        <w:rPr>
          <w:rFonts w:ascii="Times New Roman" w:hAnsi="Times New Roman" w:cs="Times New Roman"/>
          <w:i/>
          <w:sz w:val="24"/>
          <w:szCs w:val="24"/>
        </w:rPr>
        <w:t>Full Paper Proceeding GTAR-2015</w:t>
      </w:r>
      <w:r w:rsidRPr="004B1C3E">
        <w:rPr>
          <w:rFonts w:ascii="Times New Roman" w:hAnsi="Times New Roman" w:cs="Times New Roman"/>
          <w:sz w:val="24"/>
          <w:szCs w:val="24"/>
        </w:rPr>
        <w:t>, Vol. 2, 722-743.</w:t>
      </w:r>
    </w:p>
    <w:p w:rsidR="00F604C9" w:rsidRPr="004B1C3E" w:rsidRDefault="00F604C9" w:rsidP="00F604C9">
      <w:pPr>
        <w:autoSpaceDE w:val="0"/>
        <w:autoSpaceDN w:val="0"/>
        <w:adjustRightInd w:val="0"/>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 xml:space="preserve">Al Masum, Abdullah. 2014. “Dividend Policy and Its Impact on Stock Price –  A Study on Commercial Banks Listed in Dhaka Stock Exchange.” </w:t>
      </w:r>
      <w:r w:rsidRPr="004B1C3E">
        <w:rPr>
          <w:rFonts w:ascii="Times New Roman" w:hAnsi="Times New Roman" w:cs="Times New Roman"/>
          <w:i/>
          <w:sz w:val="24"/>
          <w:szCs w:val="24"/>
        </w:rPr>
        <w:t>Global Disclosure of Economics and Business</w:t>
      </w:r>
      <w:r w:rsidRPr="004B1C3E">
        <w:rPr>
          <w:rFonts w:ascii="Times New Roman" w:hAnsi="Times New Roman" w:cs="Times New Roman"/>
          <w:sz w:val="24"/>
          <w:szCs w:val="24"/>
        </w:rPr>
        <w:t>, Volume 3, No 1 (2014).</w:t>
      </w:r>
    </w:p>
    <w:p w:rsidR="00F604C9" w:rsidRPr="004B1C3E" w:rsidRDefault="00F604C9" w:rsidP="004C2319">
      <w:pPr>
        <w:pStyle w:val="Default"/>
        <w:ind w:left="709" w:hanging="709"/>
        <w:jc w:val="both"/>
        <w:rPr>
          <w:rFonts w:eastAsia="Times New Roman"/>
          <w:bCs/>
          <w:color w:val="auto"/>
          <w:lang w:val="id-ID" w:eastAsia="id-ID"/>
        </w:rPr>
      </w:pPr>
      <w:proofErr w:type="spellStart"/>
      <w:proofErr w:type="gramStart"/>
      <w:r w:rsidRPr="004B1C3E">
        <w:t>Ansar</w:t>
      </w:r>
      <w:proofErr w:type="spellEnd"/>
      <w:r w:rsidRPr="004B1C3E">
        <w:t xml:space="preserve">, </w:t>
      </w:r>
      <w:proofErr w:type="spellStart"/>
      <w:r w:rsidRPr="004B1C3E">
        <w:t>Irtaza</w:t>
      </w:r>
      <w:proofErr w:type="spellEnd"/>
      <w:r w:rsidRPr="004B1C3E">
        <w:t xml:space="preserve">, </w:t>
      </w:r>
      <w:proofErr w:type="spellStart"/>
      <w:r w:rsidRPr="004B1C3E">
        <w:t>Arslan</w:t>
      </w:r>
      <w:proofErr w:type="spellEnd"/>
      <w:r w:rsidRPr="004B1C3E">
        <w:t xml:space="preserve"> Ali Butt and Syed </w:t>
      </w:r>
      <w:proofErr w:type="spellStart"/>
      <w:r w:rsidRPr="004B1C3E">
        <w:t>Basit</w:t>
      </w:r>
      <w:proofErr w:type="spellEnd"/>
      <w:r w:rsidRPr="004B1C3E">
        <w:t xml:space="preserve"> </w:t>
      </w:r>
      <w:proofErr w:type="spellStart"/>
      <w:r w:rsidRPr="004B1C3E">
        <w:t>Hussain</w:t>
      </w:r>
      <w:proofErr w:type="spellEnd"/>
      <w:r w:rsidRPr="004B1C3E">
        <w:t xml:space="preserve"> Shah.</w:t>
      </w:r>
      <w:proofErr w:type="gramEnd"/>
      <w:r w:rsidRPr="004B1C3E">
        <w:t xml:space="preserve"> 2015. </w:t>
      </w:r>
      <w:r w:rsidRPr="004B1C3E">
        <w:rPr>
          <w:lang w:val="id-ID"/>
        </w:rPr>
        <w:t>“</w:t>
      </w:r>
      <w:r w:rsidRPr="004B1C3E">
        <w:t>Impact of Dividend Policy on Shareholder’s Wealth.</w:t>
      </w:r>
      <w:r w:rsidRPr="004B1C3E">
        <w:rPr>
          <w:lang w:val="id-ID"/>
        </w:rPr>
        <w:t>”</w:t>
      </w:r>
      <w:r w:rsidRPr="004B1C3E">
        <w:t xml:space="preserve"> </w:t>
      </w:r>
      <w:proofErr w:type="gramStart"/>
      <w:r w:rsidRPr="004B1C3E">
        <w:rPr>
          <w:i/>
        </w:rPr>
        <w:t>International Review of Management and Business Research.</w:t>
      </w:r>
      <w:proofErr w:type="gramEnd"/>
      <w:r w:rsidRPr="004B1C3E">
        <w:t xml:space="preserve"> </w:t>
      </w:r>
      <w:proofErr w:type="gramStart"/>
      <w:r w:rsidRPr="004B1C3E">
        <w:t>Vol. 4 Issue.1.</w:t>
      </w:r>
      <w:proofErr w:type="gramEnd"/>
      <w:r w:rsidRPr="004B1C3E">
        <w:t xml:space="preserve"> </w:t>
      </w:r>
      <w:proofErr w:type="spellStart"/>
      <w:proofErr w:type="gramStart"/>
      <w:r w:rsidRPr="004B1C3E">
        <w:t>Maret</w:t>
      </w:r>
      <w:proofErr w:type="spellEnd"/>
      <w:r w:rsidRPr="004B1C3E">
        <w:t xml:space="preserve"> 2015.</w:t>
      </w:r>
      <w:proofErr w:type="gramEnd"/>
    </w:p>
    <w:p w:rsidR="004C2319" w:rsidRPr="004B1C3E" w:rsidRDefault="004C2319" w:rsidP="004C2319">
      <w:pPr>
        <w:pStyle w:val="Default"/>
        <w:ind w:left="709" w:hanging="709"/>
        <w:jc w:val="both"/>
        <w:rPr>
          <w:rFonts w:eastAsia="Times New Roman"/>
          <w:bCs/>
          <w:color w:val="auto"/>
          <w:lang w:val="id-ID" w:eastAsia="id-ID"/>
        </w:rPr>
      </w:pPr>
      <w:r w:rsidRPr="004B1C3E">
        <w:rPr>
          <w:rFonts w:eastAsia="Times New Roman"/>
          <w:bCs/>
          <w:color w:val="auto"/>
          <w:lang w:val="id-ID" w:eastAsia="id-ID"/>
        </w:rPr>
        <w:t xml:space="preserve">Arora, S. </w:t>
      </w:r>
      <w:proofErr w:type="gramStart"/>
      <w:r w:rsidRPr="004B1C3E">
        <w:rPr>
          <w:color w:val="auto"/>
        </w:rPr>
        <w:t>and</w:t>
      </w:r>
      <w:proofErr w:type="gramEnd"/>
      <w:r w:rsidRPr="004B1C3E">
        <w:rPr>
          <w:color w:val="auto"/>
        </w:rPr>
        <w:t xml:space="preserve"> </w:t>
      </w:r>
      <w:r w:rsidRPr="004B1C3E">
        <w:rPr>
          <w:rFonts w:eastAsia="Times New Roman"/>
          <w:bCs/>
          <w:color w:val="auto"/>
          <w:lang w:val="id-ID" w:eastAsia="id-ID"/>
        </w:rPr>
        <w:t xml:space="preserve">N. Chaudhary. (2016). “Impact of Brand Value on Financial Performance of Banks: An Empirical Study on Indian Banks.” </w:t>
      </w:r>
      <w:r w:rsidRPr="004B1C3E">
        <w:rPr>
          <w:rFonts w:eastAsia="Times New Roman"/>
          <w:color w:val="auto"/>
          <w:lang w:val="id-ID" w:eastAsia="id-ID"/>
        </w:rPr>
        <w:t xml:space="preserve"> </w:t>
      </w:r>
      <w:r w:rsidRPr="004B1C3E">
        <w:rPr>
          <w:rFonts w:eastAsia="Times New Roman"/>
          <w:i/>
          <w:color w:val="auto"/>
          <w:lang w:val="id-ID" w:eastAsia="id-ID"/>
        </w:rPr>
        <w:t>Universal Journal of Industrial and Business Management.</w:t>
      </w:r>
      <w:r w:rsidRPr="004B1C3E">
        <w:rPr>
          <w:rFonts w:eastAsia="Times New Roman"/>
          <w:color w:val="auto"/>
          <w:lang w:val="id-ID" w:eastAsia="id-ID"/>
        </w:rPr>
        <w:t xml:space="preserve"> 4(3): 88-96, 2016.</w:t>
      </w:r>
    </w:p>
    <w:p w:rsidR="006F4FE2" w:rsidRPr="004B1C3E" w:rsidRDefault="006F4FE2" w:rsidP="006F4FE2">
      <w:pPr>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bCs/>
          <w:sz w:val="24"/>
          <w:szCs w:val="24"/>
        </w:rPr>
        <w:t>Aydin,</w:t>
      </w:r>
      <w:r w:rsidRPr="004B1C3E">
        <w:rPr>
          <w:rFonts w:ascii="Times New Roman" w:hAnsi="Times New Roman" w:cs="Times New Roman"/>
          <w:sz w:val="24"/>
          <w:szCs w:val="24"/>
        </w:rPr>
        <w:t xml:space="preserve"> </w:t>
      </w:r>
      <w:r w:rsidRPr="004B1C3E">
        <w:rPr>
          <w:rFonts w:ascii="Times New Roman" w:hAnsi="Times New Roman" w:cs="Times New Roman"/>
          <w:bCs/>
          <w:sz w:val="24"/>
          <w:szCs w:val="24"/>
        </w:rPr>
        <w:t xml:space="preserve">Gokhan and Burc Ulengin. 2015.  </w:t>
      </w:r>
      <w:r w:rsidR="00BB48DB" w:rsidRPr="004B1C3E">
        <w:rPr>
          <w:rFonts w:ascii="Times New Roman" w:hAnsi="Times New Roman" w:cs="Times New Roman"/>
          <w:bCs/>
          <w:sz w:val="24"/>
          <w:szCs w:val="24"/>
        </w:rPr>
        <w:t>“Effect of Brand Equity on Firms’ Financial Performance in Consumer Goods Industries”</w:t>
      </w:r>
      <w:r w:rsidRPr="004B1C3E">
        <w:rPr>
          <w:rFonts w:ascii="Times New Roman" w:hAnsi="Times New Roman" w:cs="Times New Roman"/>
          <w:bCs/>
          <w:sz w:val="24"/>
          <w:szCs w:val="24"/>
        </w:rPr>
        <w:t xml:space="preserve">. </w:t>
      </w:r>
      <w:r w:rsidRPr="004B1C3E">
        <w:rPr>
          <w:rFonts w:ascii="Times New Roman" w:hAnsi="Times New Roman" w:cs="Times New Roman"/>
          <w:i/>
          <w:iCs/>
          <w:sz w:val="24"/>
          <w:szCs w:val="24"/>
        </w:rPr>
        <w:t xml:space="preserve">Journal of Business, Economics and Finance - JBEF (2015), Vol.4 (3). </w:t>
      </w:r>
      <w:r w:rsidRPr="004B1C3E">
        <w:rPr>
          <w:rFonts w:ascii="Times New Roman" w:hAnsi="Times New Roman" w:cs="Times New Roman"/>
          <w:sz w:val="24"/>
          <w:szCs w:val="24"/>
        </w:rPr>
        <w:t xml:space="preserve"> </w:t>
      </w:r>
      <w:r w:rsidRPr="004B1C3E">
        <w:rPr>
          <w:rFonts w:ascii="Times New Roman" w:hAnsi="Times New Roman" w:cs="Times New Roman"/>
          <w:bCs/>
          <w:sz w:val="24"/>
          <w:szCs w:val="24"/>
        </w:rPr>
        <w:t>DOI: 10.17261/</w:t>
      </w:r>
      <w:proofErr w:type="spellStart"/>
      <w:r w:rsidRPr="004B1C3E">
        <w:rPr>
          <w:rFonts w:ascii="Times New Roman" w:hAnsi="Times New Roman" w:cs="Times New Roman"/>
          <w:bCs/>
          <w:sz w:val="24"/>
          <w:szCs w:val="24"/>
        </w:rPr>
        <w:t>Pressacademia</w:t>
      </w:r>
      <w:proofErr w:type="spellEnd"/>
      <w:r w:rsidRPr="004B1C3E">
        <w:rPr>
          <w:rFonts w:ascii="Times New Roman" w:hAnsi="Times New Roman" w:cs="Times New Roman"/>
          <w:bCs/>
          <w:sz w:val="24"/>
          <w:szCs w:val="24"/>
        </w:rPr>
        <w:t>.</w:t>
      </w:r>
      <w:r w:rsidRPr="004B1C3E">
        <w:rPr>
          <w:rFonts w:ascii="Times New Roman" w:hAnsi="Times New Roman" w:cs="Times New Roman"/>
          <w:bCs/>
          <w:sz w:val="24"/>
          <w:szCs w:val="24"/>
        </w:rPr>
        <w:t xml:space="preserve"> </w:t>
      </w:r>
      <w:r w:rsidRPr="004B1C3E">
        <w:rPr>
          <w:rFonts w:ascii="Times New Roman" w:hAnsi="Times New Roman" w:cs="Times New Roman"/>
          <w:bCs/>
          <w:sz w:val="24"/>
          <w:szCs w:val="24"/>
        </w:rPr>
        <w:t>2105313056</w:t>
      </w:r>
    </w:p>
    <w:p w:rsidR="004C2319" w:rsidRPr="004B1C3E" w:rsidRDefault="004C2319" w:rsidP="004C2319">
      <w:pPr>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hAnsi="Times New Roman" w:cs="Times New Roman"/>
          <w:sz w:val="24"/>
          <w:szCs w:val="24"/>
        </w:rPr>
        <w:t xml:space="preserve">Bhattacharya, N. (1979). “Imperfect Information, Dividend Policy, and the Bird in the Hand Fallacy.” </w:t>
      </w:r>
      <w:r w:rsidRPr="004B1C3E">
        <w:rPr>
          <w:rFonts w:ascii="Times New Roman" w:hAnsi="Times New Roman" w:cs="Times New Roman"/>
          <w:i/>
          <w:sz w:val="24"/>
          <w:szCs w:val="24"/>
        </w:rPr>
        <w:t>The Bell Journal of Economics</w:t>
      </w:r>
      <w:r w:rsidRPr="004B1C3E">
        <w:rPr>
          <w:rFonts w:ascii="Times New Roman" w:hAnsi="Times New Roman" w:cs="Times New Roman"/>
          <w:sz w:val="24"/>
          <w:szCs w:val="24"/>
        </w:rPr>
        <w:t>, Vol. 10. No. 1, pp. 259-270.</w:t>
      </w:r>
    </w:p>
    <w:p w:rsidR="00E37FDD" w:rsidRPr="004B1C3E" w:rsidRDefault="00E37FDD" w:rsidP="004C2319">
      <w:pPr>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hAnsi="Times New Roman" w:cs="Times New Roman"/>
          <w:sz w:val="24"/>
          <w:szCs w:val="24"/>
        </w:rPr>
        <w:t xml:space="preserve">Cobb-Walgren, C., Ruble, C., and Donthu, N. 1996. “Brand Equity, Brand Preference, and Purchase Intent.” </w:t>
      </w:r>
      <w:r w:rsidRPr="004B1C3E">
        <w:rPr>
          <w:rFonts w:ascii="Times New Roman" w:hAnsi="Times New Roman" w:cs="Times New Roman"/>
          <w:i/>
          <w:iCs/>
          <w:sz w:val="24"/>
          <w:szCs w:val="24"/>
        </w:rPr>
        <w:t>Journal of Advertising</w:t>
      </w:r>
      <w:r w:rsidRPr="004B1C3E">
        <w:rPr>
          <w:rFonts w:ascii="Times New Roman" w:hAnsi="Times New Roman" w:cs="Times New Roman"/>
          <w:iCs/>
          <w:sz w:val="24"/>
          <w:szCs w:val="24"/>
        </w:rPr>
        <w:t>, 24</w:t>
      </w:r>
      <w:r w:rsidRPr="004B1C3E">
        <w:rPr>
          <w:rFonts w:ascii="Times New Roman" w:hAnsi="Times New Roman" w:cs="Times New Roman"/>
          <w:sz w:val="24"/>
          <w:szCs w:val="24"/>
        </w:rPr>
        <w:t>(3): 25-40.</w:t>
      </w:r>
    </w:p>
    <w:p w:rsidR="004C2319" w:rsidRPr="004B1C3E" w:rsidRDefault="004C2319" w:rsidP="004C2319">
      <w:pPr>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eastAsia="Times New Roman" w:hAnsi="Times New Roman" w:cs="Times New Roman"/>
          <w:sz w:val="24"/>
          <w:szCs w:val="24"/>
          <w:lang w:eastAsia="id-ID"/>
        </w:rPr>
        <w:t xml:space="preserve">Davcik, Nebojsa St. (2013). “An empirical investigation of brand equity: drivers and their consequences.” </w:t>
      </w:r>
      <w:r w:rsidRPr="004B1C3E">
        <w:rPr>
          <w:rFonts w:ascii="Times New Roman" w:eastAsia="Times New Roman" w:hAnsi="Times New Roman" w:cs="Times New Roman"/>
          <w:i/>
          <w:sz w:val="24"/>
          <w:szCs w:val="24"/>
          <w:lang w:eastAsia="id-ID"/>
        </w:rPr>
        <w:t>British Food Journal</w:t>
      </w:r>
      <w:r w:rsidRPr="004B1C3E">
        <w:rPr>
          <w:rFonts w:ascii="Times New Roman" w:eastAsia="Times New Roman" w:hAnsi="Times New Roman" w:cs="Times New Roman"/>
          <w:sz w:val="24"/>
          <w:szCs w:val="24"/>
          <w:lang w:eastAsia="id-ID"/>
        </w:rPr>
        <w:t>. Vol. 115 No. 9, 2013. pp. 1342-1360.</w:t>
      </w:r>
    </w:p>
    <w:p w:rsidR="0081127D" w:rsidRPr="004B1C3E" w:rsidRDefault="0081127D" w:rsidP="0081127D">
      <w:pPr>
        <w:pStyle w:val="Default"/>
        <w:ind w:left="709" w:hanging="709"/>
        <w:jc w:val="both"/>
        <w:rPr>
          <w:rFonts w:eastAsia="Times New Roman"/>
          <w:color w:val="231F20"/>
          <w:lang w:val="id-ID" w:eastAsia="id-ID"/>
        </w:rPr>
      </w:pPr>
      <w:r w:rsidRPr="004B1C3E">
        <w:rPr>
          <w:rFonts w:eastAsia="Times New Roman"/>
          <w:color w:val="231F20"/>
          <w:lang w:val="id-ID" w:eastAsia="id-ID"/>
        </w:rPr>
        <w:t xml:space="preserve">Ehrhardt, Michael C. </w:t>
      </w:r>
      <w:proofErr w:type="gramStart"/>
      <w:r w:rsidRPr="004B1C3E">
        <w:t>and</w:t>
      </w:r>
      <w:proofErr w:type="gramEnd"/>
      <w:r w:rsidRPr="004B1C3E">
        <w:t xml:space="preserve"> </w:t>
      </w:r>
      <w:r w:rsidRPr="004B1C3E">
        <w:rPr>
          <w:rFonts w:eastAsia="Times New Roman"/>
          <w:color w:val="231F20"/>
          <w:lang w:val="id-ID" w:eastAsia="id-ID"/>
        </w:rPr>
        <w:t xml:space="preserve">Eugene F. Brigham. 2011. </w:t>
      </w:r>
      <w:r w:rsidRPr="004B1C3E">
        <w:rPr>
          <w:rFonts w:eastAsia="Times New Roman"/>
          <w:i/>
          <w:color w:val="231F20"/>
          <w:lang w:val="id-ID" w:eastAsia="id-ID"/>
        </w:rPr>
        <w:t xml:space="preserve">Financial Management: Theory and Practice, Thirteen Edition. </w:t>
      </w:r>
      <w:r w:rsidRPr="004B1C3E">
        <w:rPr>
          <w:rFonts w:eastAsia="Times New Roman"/>
          <w:color w:val="231F20"/>
          <w:lang w:val="id-ID" w:eastAsia="id-ID"/>
        </w:rPr>
        <w:t xml:space="preserve">South-Western. Cengage Learning. </w:t>
      </w:r>
    </w:p>
    <w:p w:rsidR="004C2319" w:rsidRPr="004B1C3E" w:rsidRDefault="004C2319" w:rsidP="004C2319">
      <w:pPr>
        <w:autoSpaceDE w:val="0"/>
        <w:autoSpaceDN w:val="0"/>
        <w:adjustRightInd w:val="0"/>
        <w:spacing w:after="0" w:line="240" w:lineRule="auto"/>
        <w:ind w:left="709" w:hanging="709"/>
        <w:jc w:val="both"/>
        <w:rPr>
          <w:rFonts w:ascii="Times New Roman" w:eastAsia="Times New Roman" w:hAnsi="Times New Roman" w:cs="Times New Roman"/>
          <w:color w:val="000000"/>
          <w:sz w:val="24"/>
          <w:szCs w:val="24"/>
          <w:lang w:eastAsia="id-ID"/>
        </w:rPr>
      </w:pPr>
      <w:r w:rsidRPr="004B1C3E">
        <w:rPr>
          <w:rFonts w:ascii="Times New Roman" w:hAnsi="Times New Roman" w:cs="Times New Roman"/>
          <w:sz w:val="24"/>
          <w:szCs w:val="24"/>
        </w:rPr>
        <w:t xml:space="preserve">Erdem, T. and  J. Swait. 1998. Brand Equity as a Signaling Phenomenon. </w:t>
      </w:r>
      <w:r w:rsidRPr="004B1C3E">
        <w:rPr>
          <w:rFonts w:ascii="Times New Roman" w:hAnsi="Times New Roman" w:cs="Times New Roman"/>
          <w:i/>
          <w:sz w:val="24"/>
          <w:szCs w:val="24"/>
        </w:rPr>
        <w:t>Journal of Consumer Psychology. 7(2). 131-157.</w:t>
      </w:r>
    </w:p>
    <w:p w:rsidR="004C2319" w:rsidRPr="004B1C3E" w:rsidRDefault="004C2319" w:rsidP="004C2319">
      <w:pPr>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 xml:space="preserve">Hasan, M., K.T. Ullah and H. Bhattacharjee. (2015). “Brand Valuation of Commercial Banks in Bangladesh: An Application of Marketing Profitability.” </w:t>
      </w:r>
      <w:r w:rsidRPr="004B1C3E">
        <w:rPr>
          <w:rFonts w:ascii="Times New Roman" w:hAnsi="Times New Roman" w:cs="Times New Roman"/>
          <w:i/>
          <w:sz w:val="24"/>
          <w:szCs w:val="24"/>
        </w:rPr>
        <w:t>Journal of Business Theory and Practice</w:t>
      </w:r>
      <w:r w:rsidRPr="004B1C3E">
        <w:rPr>
          <w:rFonts w:ascii="Times New Roman" w:hAnsi="Times New Roman" w:cs="Times New Roman"/>
          <w:sz w:val="24"/>
          <w:szCs w:val="24"/>
        </w:rPr>
        <w:t>. Vol. 3, No. 2, 2015.</w:t>
      </w:r>
    </w:p>
    <w:p w:rsidR="004C2319" w:rsidRPr="004B1C3E" w:rsidRDefault="004C2319" w:rsidP="004C2319">
      <w:pPr>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 xml:space="preserve">Hirose, Yoshikuni, Akiko Fujita, Makoto Fujita, Keigo Fuchi, Shinya Fukuda, Naofumi Hara, Naoki Hirai, Toshiro Hiromoto, Akira Horiuchi, Takashi Inoue, Junzo Ishii, Masaaki Iwasaki, Hiroyuki Kansaku, Yukitoshi Kubo, Makoto Matsuo, Shigeru Nishizawa, Takahiro Ohno, Daisuke Okamoto, Hikoh Okuda, Haruhiko Saito, Tsuyoshi Sakai, Hisakatsu Sakurai, Kazushi Shibata, Akira Shimizu,  Tetsuo Sugimoto, Masatsugu Tsuji, Risa Ueda, Hiroyuki Yamada </w:t>
      </w:r>
      <w:r w:rsidRPr="004B1C3E">
        <w:rPr>
          <w:rFonts w:ascii="Times New Roman" w:hAnsi="Times New Roman" w:cs="Times New Roman"/>
          <w:i/>
          <w:sz w:val="24"/>
          <w:szCs w:val="24"/>
        </w:rPr>
        <w:t xml:space="preserve">and </w:t>
      </w:r>
      <w:r w:rsidRPr="004B1C3E">
        <w:rPr>
          <w:rFonts w:ascii="Times New Roman" w:hAnsi="Times New Roman" w:cs="Times New Roman"/>
          <w:sz w:val="24"/>
          <w:szCs w:val="24"/>
        </w:rPr>
        <w:t xml:space="preserve">Hiroshi Yoshimi. 2002. </w:t>
      </w:r>
      <w:r w:rsidRPr="004B1C3E">
        <w:rPr>
          <w:rFonts w:ascii="Times New Roman" w:hAnsi="Times New Roman" w:cs="Times New Roman"/>
          <w:i/>
          <w:sz w:val="24"/>
          <w:szCs w:val="24"/>
        </w:rPr>
        <w:t>The Report of the Committee on Brand Valuation,.The Ministry of Economy, Trade and Industry of the Government of Japan</w:t>
      </w:r>
      <w:r w:rsidRPr="004B1C3E">
        <w:rPr>
          <w:rFonts w:ascii="Times New Roman" w:hAnsi="Times New Roman" w:cs="Times New Roman"/>
          <w:sz w:val="24"/>
          <w:szCs w:val="24"/>
        </w:rPr>
        <w:t>, June 24, 2002.</w:t>
      </w:r>
    </w:p>
    <w:p w:rsidR="004C2319" w:rsidRPr="004B1C3E" w:rsidRDefault="004C2319" w:rsidP="004C2319">
      <w:pPr>
        <w:spacing w:after="0" w:line="240" w:lineRule="auto"/>
        <w:ind w:left="709" w:hanging="709"/>
        <w:jc w:val="both"/>
        <w:rPr>
          <w:rFonts w:ascii="Times New Roman" w:hAnsi="Times New Roman" w:cs="Times New Roman"/>
          <w:bCs/>
          <w:sz w:val="24"/>
          <w:szCs w:val="24"/>
        </w:rPr>
      </w:pPr>
      <w:r w:rsidRPr="004B1C3E">
        <w:rPr>
          <w:rFonts w:ascii="Times New Roman" w:hAnsi="Times New Roman" w:cs="Times New Roman"/>
          <w:bCs/>
          <w:sz w:val="24"/>
          <w:szCs w:val="24"/>
        </w:rPr>
        <w:t xml:space="preserve">Huang, J. (2015). “A Review of Brand Valuation Method.” </w:t>
      </w:r>
      <w:r w:rsidRPr="004B1C3E">
        <w:rPr>
          <w:rFonts w:ascii="Times New Roman" w:hAnsi="Times New Roman" w:cs="Times New Roman"/>
          <w:bCs/>
          <w:i/>
          <w:sz w:val="24"/>
          <w:szCs w:val="24"/>
        </w:rPr>
        <w:t>Journal of Service Science and Management</w:t>
      </w:r>
      <w:r w:rsidRPr="004B1C3E">
        <w:rPr>
          <w:rFonts w:ascii="Times New Roman" w:hAnsi="Times New Roman" w:cs="Times New Roman"/>
          <w:bCs/>
          <w:sz w:val="24"/>
          <w:szCs w:val="24"/>
        </w:rPr>
        <w:t>, 2015, 8, 71-76.</w:t>
      </w:r>
    </w:p>
    <w:p w:rsidR="004C2319" w:rsidRPr="004B1C3E" w:rsidRDefault="004C2319" w:rsidP="004C2319">
      <w:pPr>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hAnsi="Times New Roman" w:cs="Times New Roman"/>
          <w:sz w:val="24"/>
          <w:szCs w:val="24"/>
        </w:rPr>
        <w:lastRenderedPageBreak/>
        <w:t>Keller, K. L. (1998). “</w:t>
      </w:r>
      <w:r w:rsidRPr="004B1C3E">
        <w:rPr>
          <w:rFonts w:ascii="Times New Roman" w:hAnsi="Times New Roman" w:cs="Times New Roman"/>
          <w:iCs/>
          <w:sz w:val="24"/>
          <w:szCs w:val="24"/>
        </w:rPr>
        <w:t>Strategic Brand Management: Building, Measuring and Managing Brand Equity</w:t>
      </w:r>
      <w:r w:rsidRPr="004B1C3E">
        <w:rPr>
          <w:rFonts w:ascii="Times New Roman" w:hAnsi="Times New Roman" w:cs="Times New Roman"/>
          <w:sz w:val="24"/>
          <w:szCs w:val="24"/>
        </w:rPr>
        <w:t xml:space="preserve">.” </w:t>
      </w:r>
      <w:r w:rsidRPr="004B1C3E">
        <w:rPr>
          <w:rFonts w:ascii="Times New Roman" w:hAnsi="Times New Roman" w:cs="Times New Roman"/>
          <w:i/>
          <w:sz w:val="24"/>
          <w:szCs w:val="24"/>
        </w:rPr>
        <w:t>New Jersey: Prentice Hall</w:t>
      </w:r>
      <w:r w:rsidRPr="004B1C3E">
        <w:rPr>
          <w:rFonts w:ascii="Times New Roman" w:hAnsi="Times New Roman" w:cs="Times New Roman"/>
          <w:sz w:val="24"/>
          <w:szCs w:val="24"/>
        </w:rPr>
        <w:t>.</w:t>
      </w:r>
    </w:p>
    <w:p w:rsidR="004C2319" w:rsidRPr="004B1C3E" w:rsidRDefault="004C2319" w:rsidP="004C2319">
      <w:pPr>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hAnsi="Times New Roman" w:cs="Times New Roman"/>
          <w:sz w:val="24"/>
          <w:szCs w:val="24"/>
        </w:rPr>
        <w:t>Keller, K. L. (2003). “</w:t>
      </w:r>
      <w:r w:rsidRPr="004B1C3E">
        <w:rPr>
          <w:rFonts w:ascii="Times New Roman" w:hAnsi="Times New Roman" w:cs="Times New Roman"/>
          <w:iCs/>
          <w:sz w:val="24"/>
          <w:szCs w:val="24"/>
        </w:rPr>
        <w:t xml:space="preserve">Strategic Brand Management: Building, Measuring, and Managing Brand Equity, </w:t>
      </w:r>
      <w:r w:rsidRPr="004B1C3E">
        <w:rPr>
          <w:rFonts w:ascii="Times New Roman" w:hAnsi="Times New Roman" w:cs="Times New Roman"/>
          <w:sz w:val="24"/>
          <w:szCs w:val="24"/>
        </w:rPr>
        <w:t>2</w:t>
      </w:r>
      <w:r w:rsidRPr="004B1C3E">
        <w:rPr>
          <w:rFonts w:ascii="Times New Roman" w:hAnsi="Times New Roman" w:cs="Times New Roman"/>
          <w:sz w:val="24"/>
          <w:szCs w:val="24"/>
          <w:vertAlign w:val="superscript"/>
        </w:rPr>
        <w:t>nd</w:t>
      </w:r>
      <w:r w:rsidRPr="004B1C3E">
        <w:rPr>
          <w:rFonts w:ascii="Times New Roman" w:hAnsi="Times New Roman" w:cs="Times New Roman"/>
          <w:sz w:val="24"/>
          <w:szCs w:val="24"/>
        </w:rPr>
        <w:t xml:space="preserve">ed.” </w:t>
      </w:r>
      <w:r w:rsidRPr="004B1C3E">
        <w:rPr>
          <w:rFonts w:ascii="Times New Roman" w:hAnsi="Times New Roman" w:cs="Times New Roman"/>
          <w:i/>
          <w:sz w:val="24"/>
          <w:szCs w:val="24"/>
        </w:rPr>
        <w:t>Upper Saddle River, NJ: Prentice-Hall</w:t>
      </w:r>
      <w:r w:rsidRPr="004B1C3E">
        <w:rPr>
          <w:rFonts w:ascii="Times New Roman" w:hAnsi="Times New Roman" w:cs="Times New Roman"/>
          <w:sz w:val="24"/>
          <w:szCs w:val="24"/>
        </w:rPr>
        <w:t>.</w:t>
      </w:r>
    </w:p>
    <w:p w:rsidR="004C2319" w:rsidRPr="004B1C3E" w:rsidRDefault="004C2319" w:rsidP="004C2319">
      <w:pPr>
        <w:autoSpaceDE w:val="0"/>
        <w:autoSpaceDN w:val="0"/>
        <w:adjustRightInd w:val="0"/>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Lee, H. (2012). “</w:t>
      </w:r>
      <w:r w:rsidRPr="004B1C3E">
        <w:rPr>
          <w:rFonts w:ascii="Times New Roman" w:hAnsi="Times New Roman" w:cs="Times New Roman"/>
          <w:bCs/>
          <w:sz w:val="24"/>
          <w:szCs w:val="24"/>
        </w:rPr>
        <w:t xml:space="preserve">Brand Valuation Model: A Shareholder Value Approach.” Disertasi. </w:t>
      </w:r>
      <w:r w:rsidRPr="004B1C3E">
        <w:rPr>
          <w:rFonts w:ascii="Times New Roman" w:hAnsi="Times New Roman" w:cs="Times New Roman"/>
          <w:sz w:val="24"/>
          <w:szCs w:val="24"/>
        </w:rPr>
        <w:t>Kent State University.</w:t>
      </w:r>
    </w:p>
    <w:p w:rsidR="004C2319" w:rsidRPr="004B1C3E" w:rsidRDefault="004C2319" w:rsidP="004C2319">
      <w:pPr>
        <w:autoSpaceDE w:val="0"/>
        <w:autoSpaceDN w:val="0"/>
        <w:adjustRightInd w:val="0"/>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 xml:space="preserve">Lehmann, R. D., K. L. Keller, and J. U. Farley. (2008). “The structure of survey-based brand metrics.” </w:t>
      </w:r>
      <w:r w:rsidRPr="004B1C3E">
        <w:rPr>
          <w:rFonts w:ascii="Times New Roman" w:hAnsi="Times New Roman" w:cs="Times New Roman"/>
          <w:iCs/>
          <w:sz w:val="24"/>
          <w:szCs w:val="24"/>
        </w:rPr>
        <w:t>Journal of International Marketing</w:t>
      </w:r>
      <w:r w:rsidRPr="004B1C3E">
        <w:rPr>
          <w:rFonts w:ascii="Times New Roman" w:hAnsi="Times New Roman" w:cs="Times New Roman"/>
          <w:sz w:val="24"/>
          <w:szCs w:val="24"/>
        </w:rPr>
        <w:t>, 16(4), 29-56.</w:t>
      </w:r>
    </w:p>
    <w:p w:rsidR="00F604C9" w:rsidRPr="004B1C3E" w:rsidRDefault="00F604C9" w:rsidP="00F604C9">
      <w:pPr>
        <w:spacing w:after="0"/>
        <w:ind w:left="851" w:hanging="851"/>
        <w:jc w:val="both"/>
        <w:rPr>
          <w:rFonts w:ascii="Times New Roman" w:hAnsi="Times New Roman" w:cs="Times New Roman"/>
          <w:sz w:val="24"/>
          <w:szCs w:val="24"/>
        </w:rPr>
      </w:pPr>
      <w:r w:rsidRPr="004B1C3E">
        <w:rPr>
          <w:rFonts w:ascii="Times New Roman" w:hAnsi="Times New Roman" w:cs="Times New Roman"/>
          <w:sz w:val="24"/>
          <w:szCs w:val="24"/>
        </w:rPr>
        <w:t xml:space="preserve">Majanga, Byson B. 2015. “The Dividend Effect on Stock Price-An Empirical Analysis of Malawi Listed Companies.” </w:t>
      </w:r>
      <w:r w:rsidRPr="004B1C3E">
        <w:rPr>
          <w:rFonts w:ascii="Times New Roman" w:hAnsi="Times New Roman" w:cs="Times New Roman"/>
          <w:i/>
          <w:sz w:val="24"/>
          <w:szCs w:val="24"/>
        </w:rPr>
        <w:t>Accounting and Finance Research</w:t>
      </w:r>
      <w:r w:rsidRPr="004B1C3E">
        <w:rPr>
          <w:rFonts w:ascii="Times New Roman" w:hAnsi="Times New Roman" w:cs="Times New Roman"/>
          <w:sz w:val="24"/>
          <w:szCs w:val="24"/>
        </w:rPr>
        <w:t xml:space="preserve">. Vol. 4, No. 3; 2015. </w:t>
      </w:r>
    </w:p>
    <w:p w:rsidR="00F604C9" w:rsidRPr="004B1C3E" w:rsidRDefault="00F604C9" w:rsidP="00F604C9">
      <w:pPr>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color w:val="000000"/>
          <w:sz w:val="24"/>
          <w:szCs w:val="24"/>
        </w:rPr>
        <w:t xml:space="preserve">Modigliani, </w:t>
      </w:r>
      <w:r w:rsidRPr="004B1C3E">
        <w:rPr>
          <w:rFonts w:ascii="Times New Roman" w:hAnsi="Times New Roman" w:cs="Times New Roman"/>
          <w:color w:val="000000"/>
          <w:sz w:val="24"/>
          <w:szCs w:val="24"/>
        </w:rPr>
        <w:t>Franco</w:t>
      </w:r>
      <w:r w:rsidRPr="004B1C3E">
        <w:rPr>
          <w:rFonts w:ascii="Times New Roman" w:hAnsi="Times New Roman" w:cs="Times New Roman"/>
          <w:color w:val="000000"/>
          <w:sz w:val="24"/>
          <w:szCs w:val="24"/>
        </w:rPr>
        <w:t xml:space="preserve"> and Merton H. Miller. 1963. “Corporate Income Taxes and the Cost of Capital: A Correction”</w:t>
      </w:r>
      <w:r w:rsidRPr="004B1C3E">
        <w:rPr>
          <w:rFonts w:ascii="Times New Roman" w:hAnsi="Times New Roman" w:cs="Times New Roman"/>
          <w:sz w:val="24"/>
          <w:szCs w:val="24"/>
        </w:rPr>
        <w:t xml:space="preserve">. </w:t>
      </w:r>
      <w:r w:rsidRPr="004B1C3E">
        <w:rPr>
          <w:rFonts w:ascii="Times New Roman" w:hAnsi="Times New Roman" w:cs="Times New Roman"/>
          <w:i/>
          <w:sz w:val="24"/>
          <w:szCs w:val="24"/>
        </w:rPr>
        <w:t>The American Economic Review</w:t>
      </w:r>
      <w:r w:rsidRPr="004B1C3E">
        <w:rPr>
          <w:rFonts w:ascii="Times New Roman" w:hAnsi="Times New Roman" w:cs="Times New Roman"/>
          <w:sz w:val="24"/>
          <w:szCs w:val="24"/>
        </w:rPr>
        <w:t>, Vol. 53, No. 3 (Jun., 1963), pp. 433-443.</w:t>
      </w:r>
    </w:p>
    <w:p w:rsidR="00F604C9" w:rsidRPr="004B1C3E" w:rsidRDefault="00F604C9" w:rsidP="004C2319">
      <w:pPr>
        <w:pStyle w:val="Default"/>
        <w:ind w:left="709" w:hanging="709"/>
        <w:jc w:val="both"/>
        <w:rPr>
          <w:lang w:val="id-ID"/>
        </w:rPr>
      </w:pPr>
      <w:r w:rsidRPr="004B1C3E">
        <w:t xml:space="preserve">Sharif, </w:t>
      </w:r>
      <w:proofErr w:type="spellStart"/>
      <w:r w:rsidRPr="004B1C3E">
        <w:t>Ilyas</w:t>
      </w:r>
      <w:proofErr w:type="spellEnd"/>
      <w:r w:rsidRPr="004B1C3E">
        <w:t xml:space="preserve">, Adnan Ali and </w:t>
      </w:r>
      <w:proofErr w:type="spellStart"/>
      <w:r w:rsidRPr="004B1C3E">
        <w:t>Farzand</w:t>
      </w:r>
      <w:proofErr w:type="spellEnd"/>
      <w:r w:rsidRPr="004B1C3E">
        <w:t xml:space="preserve"> Ali Jan. 2015. </w:t>
      </w:r>
      <w:r w:rsidRPr="004B1C3E">
        <w:rPr>
          <w:lang w:val="id-ID"/>
        </w:rPr>
        <w:t>“</w:t>
      </w:r>
      <w:r w:rsidRPr="004B1C3E">
        <w:t>Effect of Dividend Policy on Stock Prices.</w:t>
      </w:r>
      <w:r w:rsidRPr="004B1C3E">
        <w:rPr>
          <w:lang w:val="id-ID"/>
        </w:rPr>
        <w:t>”</w:t>
      </w:r>
      <w:r w:rsidRPr="004B1C3E">
        <w:t xml:space="preserve"> </w:t>
      </w:r>
      <w:proofErr w:type="gramStart"/>
      <w:r w:rsidRPr="004B1C3E">
        <w:rPr>
          <w:i/>
        </w:rPr>
        <w:t>Journal of Management Info</w:t>
      </w:r>
      <w:r w:rsidRPr="004B1C3E">
        <w:t xml:space="preserve"> </w:t>
      </w:r>
      <w:r w:rsidRPr="004B1C3E">
        <w:rPr>
          <w:bCs/>
        </w:rPr>
        <w:t>6</w:t>
      </w:r>
      <w:r w:rsidRPr="004B1C3E">
        <w:t>(1), 55-85 (2015).</w:t>
      </w:r>
      <w:proofErr w:type="gramEnd"/>
    </w:p>
    <w:p w:rsidR="004C2319" w:rsidRPr="004B1C3E" w:rsidRDefault="004C2319" w:rsidP="004C2319">
      <w:pPr>
        <w:pStyle w:val="Default"/>
        <w:ind w:left="709" w:hanging="709"/>
        <w:jc w:val="both"/>
        <w:rPr>
          <w:color w:val="auto"/>
          <w:lang w:val="id-ID"/>
        </w:rPr>
      </w:pPr>
      <w:proofErr w:type="spellStart"/>
      <w:r w:rsidRPr="004B1C3E">
        <w:rPr>
          <w:color w:val="auto"/>
        </w:rPr>
        <w:t>Tirole</w:t>
      </w:r>
      <w:proofErr w:type="spellEnd"/>
      <w:r w:rsidRPr="004B1C3E">
        <w:rPr>
          <w:color w:val="auto"/>
        </w:rPr>
        <w:t xml:space="preserve">, J. </w:t>
      </w:r>
      <w:r w:rsidRPr="004B1C3E">
        <w:rPr>
          <w:color w:val="auto"/>
          <w:lang w:val="id-ID"/>
        </w:rPr>
        <w:t>(</w:t>
      </w:r>
      <w:r w:rsidRPr="004B1C3E">
        <w:rPr>
          <w:color w:val="auto"/>
        </w:rPr>
        <w:t>1990</w:t>
      </w:r>
      <w:r w:rsidRPr="004B1C3E">
        <w:rPr>
          <w:color w:val="auto"/>
          <w:lang w:val="id-ID"/>
        </w:rPr>
        <w:t>)</w:t>
      </w:r>
      <w:r w:rsidRPr="004B1C3E">
        <w:rPr>
          <w:color w:val="auto"/>
        </w:rPr>
        <w:t xml:space="preserve">. </w:t>
      </w:r>
      <w:proofErr w:type="gramStart"/>
      <w:r w:rsidRPr="004B1C3E">
        <w:rPr>
          <w:color w:val="auto"/>
        </w:rPr>
        <w:t>The Theory of Industrial Organization.</w:t>
      </w:r>
      <w:proofErr w:type="gramEnd"/>
      <w:r w:rsidRPr="004B1C3E">
        <w:rPr>
          <w:color w:val="auto"/>
        </w:rPr>
        <w:t xml:space="preserve"> </w:t>
      </w:r>
      <w:proofErr w:type="gramStart"/>
      <w:r w:rsidRPr="004B1C3E">
        <w:rPr>
          <w:i/>
          <w:color w:val="auto"/>
        </w:rPr>
        <w:t>Cambridge, MA MIT Press.</w:t>
      </w:r>
      <w:proofErr w:type="gramEnd"/>
    </w:p>
    <w:p w:rsidR="004C2319" w:rsidRPr="004B1C3E" w:rsidRDefault="004C2319" w:rsidP="004C2319">
      <w:pPr>
        <w:pStyle w:val="Default"/>
        <w:ind w:left="709" w:hanging="709"/>
        <w:jc w:val="both"/>
        <w:rPr>
          <w:color w:val="auto"/>
          <w:lang w:val="id-ID"/>
        </w:rPr>
      </w:pPr>
      <w:r w:rsidRPr="004B1C3E">
        <w:rPr>
          <w:color w:val="auto"/>
          <w:lang w:val="id-ID"/>
        </w:rPr>
        <w:t xml:space="preserve">Ukiwe, Alladin O. (2009). “The Joint Impact of Brand Value and Advertising on Corporate Financial Performance and on Stock Return: A Case study of the Computer Industry.” </w:t>
      </w:r>
      <w:r w:rsidRPr="004B1C3E">
        <w:rPr>
          <w:i/>
          <w:color w:val="auto"/>
          <w:lang w:val="id-ID"/>
        </w:rPr>
        <w:t>Disertasi. Walden University</w:t>
      </w:r>
      <w:r w:rsidRPr="004B1C3E">
        <w:rPr>
          <w:color w:val="auto"/>
          <w:lang w:val="id-ID"/>
        </w:rPr>
        <w:t>.</w:t>
      </w:r>
    </w:p>
    <w:p w:rsidR="004C2319" w:rsidRPr="004B1C3E" w:rsidRDefault="004C2319" w:rsidP="004C2319">
      <w:pPr>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id-ID"/>
        </w:rPr>
      </w:pPr>
      <w:r w:rsidRPr="004B1C3E">
        <w:rPr>
          <w:rFonts w:ascii="Times New Roman" w:eastAsia="Times New Roman" w:hAnsi="Times New Roman" w:cs="Times New Roman"/>
          <w:sz w:val="24"/>
          <w:szCs w:val="24"/>
          <w:lang w:eastAsia="id-ID"/>
        </w:rPr>
        <w:t xml:space="preserve">Wang, D. H.-M., P.-H. Chen, T. H.-K. Yu </w:t>
      </w:r>
      <w:r w:rsidRPr="004B1C3E">
        <w:rPr>
          <w:rFonts w:ascii="Times New Roman" w:hAnsi="Times New Roman" w:cs="Times New Roman"/>
          <w:i/>
          <w:sz w:val="24"/>
          <w:szCs w:val="24"/>
        </w:rPr>
        <w:t>and</w:t>
      </w:r>
      <w:r w:rsidRPr="004B1C3E">
        <w:rPr>
          <w:rFonts w:ascii="Times New Roman" w:hAnsi="Times New Roman" w:cs="Times New Roman"/>
          <w:sz w:val="24"/>
          <w:szCs w:val="24"/>
        </w:rPr>
        <w:t xml:space="preserve"> </w:t>
      </w:r>
      <w:r w:rsidRPr="004B1C3E">
        <w:rPr>
          <w:rFonts w:ascii="Times New Roman" w:eastAsia="Times New Roman" w:hAnsi="Times New Roman" w:cs="Times New Roman"/>
          <w:sz w:val="24"/>
          <w:szCs w:val="24"/>
          <w:lang w:eastAsia="id-ID"/>
        </w:rPr>
        <w:t xml:space="preserve">C.-Y. Hsiao. (2015). “The effects of corporate social responsibility on brand equity and firm performance.” </w:t>
      </w:r>
      <w:r w:rsidRPr="004B1C3E">
        <w:rPr>
          <w:rFonts w:ascii="Times New Roman" w:eastAsia="Times New Roman" w:hAnsi="Times New Roman" w:cs="Times New Roman"/>
          <w:i/>
          <w:sz w:val="24"/>
          <w:szCs w:val="24"/>
          <w:lang w:eastAsia="id-ID"/>
        </w:rPr>
        <w:t>Journal of Business Research.</w:t>
      </w:r>
      <w:r w:rsidRPr="004B1C3E">
        <w:rPr>
          <w:rFonts w:ascii="Times New Roman" w:eastAsia="Times New Roman" w:hAnsi="Times New Roman" w:cs="Times New Roman"/>
          <w:sz w:val="24"/>
          <w:szCs w:val="24"/>
          <w:lang w:eastAsia="id-ID"/>
        </w:rPr>
        <w:t xml:space="preserve"> 68 (2015) 2232–2236.</w:t>
      </w:r>
    </w:p>
    <w:p w:rsidR="004C2319" w:rsidRPr="004B1C3E" w:rsidRDefault="004C2319" w:rsidP="004C2319">
      <w:pPr>
        <w:spacing w:after="0" w:line="240" w:lineRule="auto"/>
        <w:ind w:left="709" w:hanging="709"/>
        <w:jc w:val="both"/>
        <w:rPr>
          <w:rFonts w:ascii="Times New Roman" w:hAnsi="Times New Roman" w:cs="Times New Roman"/>
          <w:sz w:val="24"/>
          <w:szCs w:val="24"/>
        </w:rPr>
      </w:pPr>
      <w:r w:rsidRPr="004B1C3E">
        <w:rPr>
          <w:rFonts w:ascii="Times New Roman" w:hAnsi="Times New Roman" w:cs="Times New Roman"/>
          <w:sz w:val="24"/>
          <w:szCs w:val="24"/>
        </w:rPr>
        <w:t>Wardianto, K.B., 2018. “Pengaruh Ekuitas Merek terhadap Struktur Modal, Profitabilitas, Investasi dan Nilai Perusahaan (Studi pada Perusahaan Sektor Barang Konsumsi di Bursa Efek Indonesia tahun 2012-2016)”.  Disertasi. FIA Universitas Brawijaya. Malang.</w:t>
      </w:r>
    </w:p>
    <w:p w:rsidR="006D1558" w:rsidRPr="00B64E16" w:rsidRDefault="006D1558" w:rsidP="00B64E16">
      <w:pPr>
        <w:spacing w:after="0" w:line="240" w:lineRule="auto"/>
        <w:jc w:val="both"/>
        <w:rPr>
          <w:rFonts w:ascii="Times New Roman" w:hAnsi="Times New Roman" w:cs="Times New Roman"/>
          <w:b/>
          <w:iCs/>
          <w:sz w:val="24"/>
          <w:szCs w:val="24"/>
        </w:rPr>
      </w:pPr>
      <w:bookmarkStart w:id="0" w:name="_GoBack"/>
      <w:bookmarkEnd w:id="0"/>
    </w:p>
    <w:sectPr w:rsidR="006D1558" w:rsidRPr="00B64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385"/>
    <w:rsid w:val="0002096B"/>
    <w:rsid w:val="000524F0"/>
    <w:rsid w:val="00147ACA"/>
    <w:rsid w:val="001A139B"/>
    <w:rsid w:val="001A75CC"/>
    <w:rsid w:val="0022520A"/>
    <w:rsid w:val="002B7B23"/>
    <w:rsid w:val="002C1846"/>
    <w:rsid w:val="0031300A"/>
    <w:rsid w:val="00341AEA"/>
    <w:rsid w:val="004367E8"/>
    <w:rsid w:val="0043725F"/>
    <w:rsid w:val="00496E1C"/>
    <w:rsid w:val="004A3287"/>
    <w:rsid w:val="004B1C3E"/>
    <w:rsid w:val="004C2319"/>
    <w:rsid w:val="00543000"/>
    <w:rsid w:val="005E235F"/>
    <w:rsid w:val="006259DC"/>
    <w:rsid w:val="00634DFC"/>
    <w:rsid w:val="00692678"/>
    <w:rsid w:val="006957B8"/>
    <w:rsid w:val="006B4869"/>
    <w:rsid w:val="006D1558"/>
    <w:rsid w:val="006F4FE2"/>
    <w:rsid w:val="007C35B6"/>
    <w:rsid w:val="008000B8"/>
    <w:rsid w:val="00804A56"/>
    <w:rsid w:val="0081127D"/>
    <w:rsid w:val="00877105"/>
    <w:rsid w:val="008E0D61"/>
    <w:rsid w:val="0096285B"/>
    <w:rsid w:val="009C6901"/>
    <w:rsid w:val="009D013D"/>
    <w:rsid w:val="009D594F"/>
    <w:rsid w:val="00A55D58"/>
    <w:rsid w:val="00AF6B4F"/>
    <w:rsid w:val="00B05C78"/>
    <w:rsid w:val="00B21EB5"/>
    <w:rsid w:val="00B36F3C"/>
    <w:rsid w:val="00B564D7"/>
    <w:rsid w:val="00B64E16"/>
    <w:rsid w:val="00B675BE"/>
    <w:rsid w:val="00B74E45"/>
    <w:rsid w:val="00BB48DB"/>
    <w:rsid w:val="00BC2082"/>
    <w:rsid w:val="00BD519E"/>
    <w:rsid w:val="00C41385"/>
    <w:rsid w:val="00C82A3D"/>
    <w:rsid w:val="00D147BC"/>
    <w:rsid w:val="00D418D3"/>
    <w:rsid w:val="00D75AEF"/>
    <w:rsid w:val="00D96973"/>
    <w:rsid w:val="00E00A3B"/>
    <w:rsid w:val="00E37FDD"/>
    <w:rsid w:val="00E426AE"/>
    <w:rsid w:val="00E656D1"/>
    <w:rsid w:val="00E711D8"/>
    <w:rsid w:val="00EA24A4"/>
    <w:rsid w:val="00ED7931"/>
    <w:rsid w:val="00F604C9"/>
    <w:rsid w:val="00FC6C5C"/>
    <w:rsid w:val="00FD28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78"/>
    <w:rPr>
      <w:rFonts w:ascii="Tahoma" w:hAnsi="Tahoma" w:cs="Tahoma"/>
      <w:sz w:val="16"/>
      <w:szCs w:val="16"/>
    </w:rPr>
  </w:style>
  <w:style w:type="table" w:styleId="TableGrid">
    <w:name w:val="Table Grid"/>
    <w:basedOn w:val="TableNormal"/>
    <w:uiPriority w:val="59"/>
    <w:rsid w:val="00D1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D61"/>
    <w:pPr>
      <w:ind w:left="720"/>
      <w:contextualSpacing/>
    </w:pPr>
  </w:style>
  <w:style w:type="paragraph" w:customStyle="1" w:styleId="Default">
    <w:name w:val="Default"/>
    <w:rsid w:val="004C231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6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78"/>
    <w:rPr>
      <w:rFonts w:ascii="Tahoma" w:hAnsi="Tahoma" w:cs="Tahoma"/>
      <w:sz w:val="16"/>
      <w:szCs w:val="16"/>
    </w:rPr>
  </w:style>
  <w:style w:type="table" w:styleId="TableGrid">
    <w:name w:val="Table Grid"/>
    <w:basedOn w:val="TableNormal"/>
    <w:uiPriority w:val="59"/>
    <w:rsid w:val="00D14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D61"/>
    <w:pPr>
      <w:ind w:left="720"/>
      <w:contextualSpacing/>
    </w:pPr>
  </w:style>
  <w:style w:type="paragraph" w:customStyle="1" w:styleId="Default">
    <w:name w:val="Default"/>
    <w:rsid w:val="004C231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9</Pages>
  <Words>3286</Words>
  <Characters>18736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2019-07-24T01:02:00Z</dcterms:created>
  <dcterms:modified xsi:type="dcterms:W3CDTF">2019-07-31T05:58:00Z</dcterms:modified>
</cp:coreProperties>
</file>