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CC0" w:rsidRPr="00FF5B8D" w:rsidRDefault="00245CC0" w:rsidP="00245CC0">
      <w:pPr>
        <w:pStyle w:val="BodyText2"/>
        <w:spacing w:before="1588" w:after="568" w:line="240" w:lineRule="auto"/>
        <w:jc w:val="both"/>
        <w:rPr>
          <w:rFonts w:ascii="Times New Roman" w:hAnsi="Times New Roman"/>
          <w:b/>
          <w:sz w:val="34"/>
          <w:szCs w:val="34"/>
          <w:lang w:val="id-ID"/>
        </w:rPr>
      </w:pPr>
      <w:bookmarkStart w:id="0" w:name="_Hlk515780156"/>
      <w:bookmarkEnd w:id="0"/>
      <w:r w:rsidRPr="00FF5B8D">
        <w:rPr>
          <w:rFonts w:ascii="Times New Roman" w:hAnsi="Times New Roman"/>
          <w:b/>
          <w:sz w:val="34"/>
          <w:szCs w:val="34"/>
          <w:lang w:val="id-ID"/>
        </w:rPr>
        <w:t>Analysis of gravity anomaly for groundwater basin in Bandar Lampung City based on 2D gravity modeling</w:t>
      </w:r>
    </w:p>
    <w:p w:rsidR="00245CC0" w:rsidRPr="00806029" w:rsidRDefault="00E16CF1" w:rsidP="00245CC0">
      <w:pPr>
        <w:pStyle w:val="AuthorAffiliation"/>
        <w:spacing w:after="240"/>
        <w:ind w:left="1418"/>
        <w:jc w:val="left"/>
        <w:rPr>
          <w:b/>
          <w:i w:val="0"/>
          <w:sz w:val="22"/>
        </w:rPr>
      </w:pPr>
      <w:r w:rsidRPr="00806029">
        <w:rPr>
          <w:b/>
          <w:i w:val="0"/>
          <w:sz w:val="22"/>
        </w:rPr>
        <w:t>A Zaenudin</w:t>
      </w:r>
      <w:r w:rsidRPr="00806029">
        <w:rPr>
          <w:b/>
          <w:i w:val="0"/>
          <w:sz w:val="22"/>
          <w:vertAlign w:val="superscript"/>
        </w:rPr>
        <w:t>1</w:t>
      </w:r>
      <w:r w:rsidRPr="00806029">
        <w:rPr>
          <w:b/>
          <w:i w:val="0"/>
          <w:sz w:val="22"/>
        </w:rPr>
        <w:t>*, R Risman</w:t>
      </w:r>
      <w:r w:rsidRPr="00806029">
        <w:rPr>
          <w:b/>
          <w:i w:val="0"/>
          <w:sz w:val="22"/>
          <w:vertAlign w:val="superscript"/>
        </w:rPr>
        <w:t>1</w:t>
      </w:r>
      <w:r w:rsidRPr="00806029">
        <w:rPr>
          <w:b/>
          <w:i w:val="0"/>
          <w:sz w:val="22"/>
        </w:rPr>
        <w:t>, I G B Darma</w:t>
      </w:r>
      <w:bookmarkStart w:id="1" w:name="_GoBack"/>
      <w:bookmarkEnd w:id="1"/>
      <w:r w:rsidRPr="00806029">
        <w:rPr>
          <w:b/>
          <w:i w:val="0"/>
          <w:sz w:val="22"/>
        </w:rPr>
        <w:t>wan</w:t>
      </w:r>
      <w:r w:rsidRPr="00806029">
        <w:rPr>
          <w:b/>
          <w:i w:val="0"/>
          <w:sz w:val="22"/>
          <w:vertAlign w:val="superscript"/>
        </w:rPr>
        <w:t>1</w:t>
      </w:r>
      <w:r w:rsidRPr="00806029">
        <w:rPr>
          <w:b/>
          <w:i w:val="0"/>
          <w:sz w:val="22"/>
        </w:rPr>
        <w:t>, I B S Yogi</w:t>
      </w:r>
      <w:r w:rsidRPr="00806029">
        <w:rPr>
          <w:b/>
          <w:i w:val="0"/>
          <w:sz w:val="22"/>
          <w:vertAlign w:val="superscript"/>
        </w:rPr>
        <w:t>1</w:t>
      </w:r>
    </w:p>
    <w:p w:rsidR="00E16CF1" w:rsidRPr="00E16CF1" w:rsidRDefault="00E16CF1" w:rsidP="00245CC0">
      <w:pPr>
        <w:pStyle w:val="AuthorAffiliation"/>
        <w:spacing w:after="240"/>
        <w:ind w:left="1418"/>
        <w:jc w:val="left"/>
        <w:rPr>
          <w:i w:val="0"/>
          <w:sz w:val="22"/>
        </w:rPr>
      </w:pPr>
      <w:r>
        <w:rPr>
          <w:i w:val="0"/>
          <w:sz w:val="22"/>
        </w:rPr>
        <w:t>*ahmad.zaenudin@eng.unila.ac.id</w:t>
      </w:r>
    </w:p>
    <w:p w:rsidR="00245CC0" w:rsidRPr="00C61279" w:rsidRDefault="00245CC0" w:rsidP="00245CC0">
      <w:pPr>
        <w:spacing w:after="454"/>
        <w:ind w:left="1418"/>
        <w:jc w:val="both"/>
        <w:rPr>
          <w:sz w:val="20"/>
          <w:lang w:val="id-ID"/>
        </w:rPr>
      </w:pPr>
      <w:r w:rsidRPr="00C61279">
        <w:rPr>
          <w:b/>
          <w:sz w:val="20"/>
          <w:lang w:val="id-ID"/>
        </w:rPr>
        <w:t>Abstract.</w:t>
      </w:r>
      <w:r w:rsidR="00C13BF8" w:rsidRPr="00C61279">
        <w:rPr>
          <w:rFonts w:ascii="Times New Roman" w:hAnsi="Times New Roman"/>
          <w:sz w:val="20"/>
          <w:lang w:val="id-ID"/>
        </w:rPr>
        <w:t xml:space="preserve">The research aims to delineate the groundwater basin in Bandar Lampung from gravity anomaly. Field data acquisition was carried out at 403 points with a spacing of 2-3 km, covering the Bandar Lampung and surrounding areas. </w:t>
      </w:r>
      <w:r w:rsidR="00E00E14" w:rsidRPr="00C61279">
        <w:rPr>
          <w:rFonts w:ascii="Times New Roman" w:hAnsi="Times New Roman"/>
          <w:color w:val="222222"/>
          <w:sz w:val="20"/>
          <w:shd w:val="clear" w:color="auto" w:fill="F8F9FA"/>
          <w:lang w:val="id-ID"/>
        </w:rPr>
        <w:t xml:space="preserve">Data processing through gravity data corrections, namely drift, tide, Free Air, Bouguer and Terrain using Geosoft Oasis Montaj 8.3. </w:t>
      </w:r>
      <w:r w:rsidR="00F969F7">
        <w:rPr>
          <w:rFonts w:ascii="Times New Roman" w:hAnsi="Times New Roman"/>
          <w:color w:val="222222"/>
          <w:sz w:val="20"/>
          <w:shd w:val="clear" w:color="auto" w:fill="F8F9FA"/>
          <w:lang w:val="en-US"/>
        </w:rPr>
        <w:t>T</w:t>
      </w:r>
      <w:r w:rsidR="00E00E14" w:rsidRPr="00C61279">
        <w:rPr>
          <w:rFonts w:ascii="Times New Roman" w:hAnsi="Times New Roman"/>
          <w:color w:val="222222"/>
          <w:sz w:val="20"/>
          <w:shd w:val="clear" w:color="auto" w:fill="F8F9FA"/>
          <w:lang w:val="id-ID"/>
        </w:rPr>
        <w:t xml:space="preserve">he Bouguer </w:t>
      </w:r>
      <w:r w:rsidR="00F969F7">
        <w:rPr>
          <w:rFonts w:ascii="Times New Roman" w:hAnsi="Times New Roman"/>
          <w:color w:val="222222"/>
          <w:sz w:val="20"/>
          <w:shd w:val="clear" w:color="auto" w:fill="F8F9FA"/>
          <w:lang w:val="en-US"/>
        </w:rPr>
        <w:t xml:space="preserve">density </w:t>
      </w:r>
      <w:r w:rsidR="00E00E14" w:rsidRPr="00C61279">
        <w:rPr>
          <w:rFonts w:ascii="Times New Roman" w:hAnsi="Times New Roman"/>
          <w:color w:val="222222"/>
          <w:sz w:val="20"/>
          <w:shd w:val="clear" w:color="auto" w:fill="F8F9FA"/>
          <w:lang w:val="id-ID"/>
        </w:rPr>
        <w:t xml:space="preserve">used is 2.67 gr/cm3. For the anomaly separation, spectrum analysis and regional and residual anomaly separation were carried out, whereas 2D modeling was carried out by forward modeling. This basin boundary analysis is based on gravity residual anomaly patterns, gravity </w:t>
      </w:r>
      <w:r w:rsidR="004F482F">
        <w:rPr>
          <w:rFonts w:ascii="Times New Roman" w:hAnsi="Times New Roman"/>
          <w:color w:val="222222"/>
          <w:sz w:val="20"/>
          <w:shd w:val="clear" w:color="auto" w:fill="F8F9FA"/>
          <w:lang w:val="en-US"/>
        </w:rPr>
        <w:t xml:space="preserve">Second </w:t>
      </w:r>
      <w:r w:rsidR="00E00E14" w:rsidRPr="00C61279">
        <w:rPr>
          <w:rFonts w:ascii="Times New Roman" w:hAnsi="Times New Roman"/>
          <w:color w:val="222222"/>
          <w:sz w:val="20"/>
          <w:shd w:val="clear" w:color="auto" w:fill="F8F9FA"/>
          <w:lang w:val="id-ID"/>
        </w:rPr>
        <w:t>Vertical Derivative (SVD) analysis, and 2D gravity modeling. There are 2 low residual anomaly patterns (-</w:t>
      </w:r>
      <w:r w:rsidR="007669A1">
        <w:rPr>
          <w:rFonts w:ascii="Times New Roman" w:hAnsi="Times New Roman"/>
          <w:color w:val="222222"/>
          <w:sz w:val="20"/>
          <w:shd w:val="clear" w:color="auto" w:fill="F8F9FA"/>
          <w:lang w:val="en-ID"/>
        </w:rPr>
        <w:t>22</w:t>
      </w:r>
      <w:r w:rsidR="00E00E14" w:rsidRPr="00C61279">
        <w:rPr>
          <w:rFonts w:ascii="Times New Roman" w:hAnsi="Times New Roman"/>
          <w:color w:val="222222"/>
          <w:sz w:val="20"/>
          <w:shd w:val="clear" w:color="auto" w:fill="F8F9FA"/>
          <w:lang w:val="id-ID"/>
        </w:rPr>
        <w:t xml:space="preserve"> to -</w:t>
      </w:r>
      <w:r w:rsidR="007669A1">
        <w:rPr>
          <w:rFonts w:ascii="Times New Roman" w:hAnsi="Times New Roman"/>
          <w:color w:val="222222"/>
          <w:sz w:val="20"/>
          <w:shd w:val="clear" w:color="auto" w:fill="F8F9FA"/>
          <w:lang w:val="en-ID"/>
        </w:rPr>
        <w:t>5</w:t>
      </w:r>
      <w:r w:rsidR="00E00E14" w:rsidRPr="00C61279">
        <w:rPr>
          <w:rFonts w:ascii="Times New Roman" w:hAnsi="Times New Roman"/>
          <w:color w:val="222222"/>
          <w:sz w:val="20"/>
          <w:shd w:val="clear" w:color="auto" w:fill="F8F9FA"/>
          <w:lang w:val="id-ID"/>
        </w:rPr>
        <w:t xml:space="preserve"> mGal), where the boundaries of the basin can be clearly delineated from SVD analysis. </w:t>
      </w:r>
      <w:r w:rsidR="00E00E14" w:rsidRPr="00C61279">
        <w:rPr>
          <w:rFonts w:ascii="Times New Roman" w:hAnsi="Times New Roman"/>
          <w:color w:val="222222"/>
          <w:sz w:val="20"/>
          <w:lang w:val="id-ID"/>
        </w:rPr>
        <w:t>This 2D model shows layers with a density of 2.3 gr/cm3 which are the Young Volcano Formation (Qhv) and the Lampung Formation (QTl) which have depths of up to 1</w:t>
      </w:r>
      <w:r w:rsidR="003501D7">
        <w:rPr>
          <w:rFonts w:ascii="Times New Roman" w:hAnsi="Times New Roman"/>
          <w:color w:val="222222"/>
          <w:sz w:val="20"/>
          <w:lang w:val="en-ID"/>
        </w:rPr>
        <w:t xml:space="preserve">.0 </w:t>
      </w:r>
      <w:r w:rsidR="00E00E14" w:rsidRPr="00C61279">
        <w:rPr>
          <w:rFonts w:ascii="Times New Roman" w:hAnsi="Times New Roman"/>
          <w:color w:val="222222"/>
          <w:sz w:val="20"/>
          <w:lang w:val="id-ID"/>
        </w:rPr>
        <w:t xml:space="preserve">-1.5 km. </w:t>
      </w:r>
      <w:r w:rsidR="00E00E14" w:rsidRPr="00C61279">
        <w:rPr>
          <w:rFonts w:ascii="Times New Roman" w:hAnsi="Times New Roman"/>
          <w:color w:val="222222"/>
          <w:sz w:val="20"/>
          <w:shd w:val="clear" w:color="auto" w:fill="F8F9FA"/>
          <w:lang w:val="id-ID"/>
        </w:rPr>
        <w:t>This Groundwater Basin correlates well with the hydrological pattern with a water discharge of 5</w:t>
      </w:r>
      <w:r w:rsidR="003501D7">
        <w:rPr>
          <w:rFonts w:ascii="Times New Roman" w:hAnsi="Times New Roman"/>
          <w:color w:val="222222"/>
          <w:sz w:val="20"/>
          <w:shd w:val="clear" w:color="auto" w:fill="F8F9FA"/>
          <w:lang w:val="en-ID"/>
        </w:rPr>
        <w:t xml:space="preserve"> to </w:t>
      </w:r>
      <w:r w:rsidR="00E00E14" w:rsidRPr="00C61279">
        <w:rPr>
          <w:rFonts w:ascii="Times New Roman" w:hAnsi="Times New Roman"/>
          <w:color w:val="222222"/>
          <w:sz w:val="20"/>
          <w:shd w:val="clear" w:color="auto" w:fill="F8F9FA"/>
          <w:lang w:val="id-ID"/>
        </w:rPr>
        <w:t>10</w:t>
      </w:r>
      <w:r w:rsidR="007669A1">
        <w:rPr>
          <w:rFonts w:ascii="Times New Roman" w:hAnsi="Times New Roman"/>
          <w:color w:val="222222"/>
          <w:sz w:val="20"/>
          <w:shd w:val="clear" w:color="auto" w:fill="F8F9FA"/>
          <w:lang w:val="en-ID"/>
        </w:rPr>
        <w:t>0</w:t>
      </w:r>
      <w:r w:rsidR="00E00E14" w:rsidRPr="00C61279">
        <w:rPr>
          <w:rFonts w:ascii="Times New Roman" w:hAnsi="Times New Roman"/>
          <w:color w:val="222222"/>
          <w:sz w:val="20"/>
          <w:shd w:val="clear" w:color="auto" w:fill="F8F9FA"/>
          <w:lang w:val="id-ID"/>
        </w:rPr>
        <w:t xml:space="preserve"> l/sec.</w:t>
      </w:r>
    </w:p>
    <w:p w:rsidR="00245CC0" w:rsidRPr="00C61279" w:rsidRDefault="00245CC0" w:rsidP="005F1A15">
      <w:pPr>
        <w:pStyle w:val="Abstract"/>
        <w:numPr>
          <w:ilvl w:val="0"/>
          <w:numId w:val="19"/>
        </w:numPr>
        <w:spacing w:before="240" w:after="0"/>
        <w:ind w:left="284" w:right="288" w:hanging="284"/>
        <w:rPr>
          <w:b/>
          <w:sz w:val="22"/>
          <w:lang w:val="id-ID"/>
        </w:rPr>
      </w:pPr>
      <w:r w:rsidRPr="00C61279">
        <w:rPr>
          <w:b/>
          <w:sz w:val="22"/>
          <w:lang w:val="id-ID"/>
        </w:rPr>
        <w:t>Introduction</w:t>
      </w:r>
    </w:p>
    <w:p w:rsidR="00483784" w:rsidRPr="00483784" w:rsidRDefault="00483784" w:rsidP="007669A1">
      <w:pPr>
        <w:jc w:val="both"/>
        <w:rPr>
          <w:rFonts w:ascii="Times New Roman" w:hAnsi="Times New Roman"/>
          <w:szCs w:val="22"/>
          <w:lang w:val="id-ID"/>
        </w:rPr>
      </w:pPr>
      <w:bookmarkStart w:id="2" w:name="_Hlk515786744"/>
      <w:r w:rsidRPr="00483784">
        <w:rPr>
          <w:rFonts w:ascii="Times New Roman" w:hAnsi="Times New Roman"/>
          <w:szCs w:val="22"/>
          <w:lang w:val="id-ID"/>
        </w:rPr>
        <w:t xml:space="preserve">This research area belongs to Lampung Province, which includes Bandar Lampung and its surroundings. This area is described geologically in the Tanjung Karang Sheet Geological Map. The geological unit of this area consists of the Gunung Kasih Complex (Pzg), which composed of metamorphic rocks. The lithology is thought to be the oldest rock formations formed in the paleozoic era. Moreover, </w:t>
      </w:r>
      <w:r w:rsidR="00D3310A">
        <w:rPr>
          <w:rFonts w:ascii="Times New Roman" w:hAnsi="Times New Roman"/>
          <w:szCs w:val="22"/>
          <w:lang w:val="en-US"/>
        </w:rPr>
        <w:t xml:space="preserve">the </w:t>
      </w:r>
      <w:r w:rsidRPr="00483784">
        <w:rPr>
          <w:rFonts w:ascii="Times New Roman" w:hAnsi="Times New Roman"/>
          <w:szCs w:val="22"/>
          <w:lang w:val="id-ID"/>
        </w:rPr>
        <w:t xml:space="preserve">formation is composed of schist, gneiss, quartzite, and marble. The Lampung Formation (QTl) is a formation that dominates almost the entire region on the Tanjung Karang sheet and consists of Rhyolite-Tufan Rock and Volcanoclastic Tufan. The existence of a layer of young volcanic rocks is closely related to the subduction of the Indian Ocean Plate, which occurs throughout the arcs of Barisan mountains during tertiary which produce Tuff, Lava, and Breccia rocks </w:t>
      </w:r>
      <w:r w:rsidR="00866171">
        <w:rPr>
          <w:rFonts w:ascii="Times New Roman" w:hAnsi="Times New Roman"/>
          <w:szCs w:val="22"/>
          <w:lang w:val="en-ID"/>
        </w:rPr>
        <w:t>[1].</w:t>
      </w:r>
      <w:r w:rsidRPr="00483784">
        <w:rPr>
          <w:rFonts w:ascii="Times New Roman" w:hAnsi="Times New Roman"/>
          <w:szCs w:val="22"/>
          <w:lang w:val="id-ID"/>
        </w:rPr>
        <w:t xml:space="preserve"> According to </w:t>
      </w:r>
      <w:r w:rsidR="00866171">
        <w:rPr>
          <w:rFonts w:ascii="Times New Roman" w:hAnsi="Times New Roman"/>
          <w:szCs w:val="22"/>
          <w:lang w:val="en-ID"/>
        </w:rPr>
        <w:t>[2]</w:t>
      </w:r>
      <w:r w:rsidRPr="00483784">
        <w:rPr>
          <w:rFonts w:ascii="Times New Roman" w:hAnsi="Times New Roman"/>
          <w:szCs w:val="22"/>
          <w:lang w:val="id-ID"/>
        </w:rPr>
        <w:t xml:space="preserve">, the coastal land area of ​​Lampung Bay is classified as a narrow and hilly coastal plain, with dominant rocks including alluvium and swamp deposits, reef limestone, and quarter-old young volcanic deposits (Qhv). </w:t>
      </w:r>
      <w:r w:rsidR="00BB5339">
        <w:rPr>
          <w:rFonts w:ascii="Times New Roman" w:hAnsi="Times New Roman"/>
          <w:szCs w:val="22"/>
          <w:lang w:val="en-US"/>
        </w:rPr>
        <w:t xml:space="preserve">Furthermore, the </w:t>
      </w:r>
      <w:r w:rsidRPr="00483784">
        <w:rPr>
          <w:rFonts w:ascii="Times New Roman" w:hAnsi="Times New Roman"/>
          <w:szCs w:val="22"/>
          <w:lang w:val="id-ID"/>
        </w:rPr>
        <w:t>sediments in Lampung Bay waters are dominated by silt</w:t>
      </w:r>
      <w:r w:rsidR="005272E9">
        <w:rPr>
          <w:rFonts w:ascii="Times New Roman" w:hAnsi="Times New Roman"/>
          <w:szCs w:val="22"/>
          <w:lang w:val="en-US"/>
        </w:rPr>
        <w:t xml:space="preserve"> </w:t>
      </w:r>
      <w:r w:rsidRPr="00483784">
        <w:rPr>
          <w:rFonts w:ascii="Times New Roman" w:hAnsi="Times New Roman"/>
          <w:szCs w:val="22"/>
          <w:lang w:val="id-ID"/>
        </w:rPr>
        <w:t>(75-90%).</w:t>
      </w:r>
    </w:p>
    <w:p w:rsidR="005F1A15" w:rsidRDefault="00483784" w:rsidP="005F1A15">
      <w:pPr>
        <w:ind w:firstLine="284"/>
        <w:jc w:val="both"/>
        <w:rPr>
          <w:rFonts w:ascii="Times New Roman" w:hAnsi="Times New Roman"/>
          <w:szCs w:val="22"/>
          <w:lang w:val="id-ID"/>
        </w:rPr>
      </w:pPr>
      <w:r w:rsidRPr="00483784">
        <w:rPr>
          <w:rFonts w:ascii="Times New Roman" w:hAnsi="Times New Roman"/>
          <w:szCs w:val="22"/>
          <w:lang w:val="id-ID"/>
        </w:rPr>
        <w:t xml:space="preserve">Ensuring the availability of the groundwater, the proper management of groundwater usage needs to be done to avoid regret in the future. For this reason, it is necessary to study regional characteristics of groundwater basins. Moreover, data on the nature of the basin is crucial for further investigation. In this study, groundwater basin studies have been carried out </w:t>
      </w:r>
      <w:r w:rsidR="00EB6B96">
        <w:rPr>
          <w:rFonts w:ascii="Times New Roman" w:hAnsi="Times New Roman"/>
          <w:szCs w:val="22"/>
          <w:lang w:val="en-US"/>
        </w:rPr>
        <w:t>utiliz</w:t>
      </w:r>
      <w:r w:rsidRPr="00483784">
        <w:rPr>
          <w:rFonts w:ascii="Times New Roman" w:hAnsi="Times New Roman"/>
          <w:szCs w:val="22"/>
          <w:lang w:val="id-ID"/>
        </w:rPr>
        <w:t>ing the gravity method to delineate basin boundaries and validate with local hydrogeology data.</w:t>
      </w:r>
    </w:p>
    <w:p w:rsidR="003C4C4D" w:rsidRDefault="00EB6B96" w:rsidP="005F1A15">
      <w:pPr>
        <w:ind w:firstLine="284"/>
        <w:jc w:val="both"/>
        <w:rPr>
          <w:rFonts w:ascii="Times New Roman" w:hAnsi="Times New Roman"/>
          <w:szCs w:val="22"/>
          <w:lang w:val="id-ID"/>
        </w:rPr>
      </w:pPr>
      <w:r>
        <w:rPr>
          <w:rFonts w:ascii="Times New Roman" w:hAnsi="Times New Roman"/>
          <w:szCs w:val="22"/>
          <w:lang w:val="en-US"/>
        </w:rPr>
        <w:t>T</w:t>
      </w:r>
      <w:r w:rsidR="00EF4C2F">
        <w:rPr>
          <w:rFonts w:ascii="Times New Roman" w:hAnsi="Times New Roman"/>
          <w:szCs w:val="22"/>
          <w:lang w:val="id-ID"/>
        </w:rPr>
        <w:t xml:space="preserve">his study </w:t>
      </w:r>
      <w:r w:rsidR="00EF4C2F">
        <w:rPr>
          <w:rFonts w:ascii="Times New Roman" w:hAnsi="Times New Roman"/>
          <w:szCs w:val="22"/>
          <w:lang w:val="en-US"/>
        </w:rPr>
        <w:t xml:space="preserve">aims </w:t>
      </w:r>
      <w:r w:rsidR="00483784" w:rsidRPr="00483784">
        <w:rPr>
          <w:rFonts w:ascii="Times New Roman" w:hAnsi="Times New Roman"/>
          <w:szCs w:val="22"/>
          <w:lang w:val="id-ID"/>
        </w:rPr>
        <w:t xml:space="preserve">to identify the boundaries of groundwater basins based on regional conditions of subsurface based on gravity data. Where the nature of the gravitational field, capable of mapping </w:t>
      </w:r>
      <w:r w:rsidR="00483784" w:rsidRPr="00483784">
        <w:rPr>
          <w:rFonts w:ascii="Times New Roman" w:hAnsi="Times New Roman"/>
          <w:szCs w:val="22"/>
          <w:lang w:val="id-ID"/>
        </w:rPr>
        <w:lastRenderedPageBreak/>
        <w:t>regional density distribution, is an appropriate method for investigating the characterization of regional basements and their correlation with groundwater basins in this area.</w:t>
      </w:r>
    </w:p>
    <w:bookmarkEnd w:id="2"/>
    <w:p w:rsidR="00245CC0" w:rsidRPr="00C61279" w:rsidRDefault="00C0081B" w:rsidP="005F1A15">
      <w:pPr>
        <w:pStyle w:val="Abstract"/>
        <w:numPr>
          <w:ilvl w:val="0"/>
          <w:numId w:val="19"/>
        </w:numPr>
        <w:tabs>
          <w:tab w:val="left" w:pos="284"/>
        </w:tabs>
        <w:spacing w:before="240" w:after="0"/>
        <w:ind w:left="284" w:right="-1" w:hanging="284"/>
        <w:rPr>
          <w:b/>
          <w:sz w:val="22"/>
          <w:lang w:val="id-ID"/>
        </w:rPr>
      </w:pPr>
      <w:r w:rsidRPr="00C61279">
        <w:rPr>
          <w:b/>
          <w:sz w:val="22"/>
          <w:lang w:val="id-ID"/>
        </w:rPr>
        <w:t>Gravity Method for basin deliniation</w:t>
      </w:r>
    </w:p>
    <w:p w:rsidR="00F047E7" w:rsidRPr="00F047E7" w:rsidRDefault="00F047E7" w:rsidP="007669A1">
      <w:pPr>
        <w:jc w:val="both"/>
        <w:rPr>
          <w:rFonts w:ascii="Times New Roman" w:eastAsia="Batang" w:hAnsi="Times New Roman"/>
          <w:szCs w:val="22"/>
          <w:lang w:val="id-ID" w:eastAsia="ko-KR"/>
        </w:rPr>
      </w:pPr>
      <w:r w:rsidRPr="00F047E7">
        <w:rPr>
          <w:rFonts w:ascii="Times New Roman" w:eastAsia="Batang" w:hAnsi="Times New Roman"/>
          <w:szCs w:val="22"/>
          <w:lang w:val="id-ID" w:eastAsia="ko-KR"/>
        </w:rPr>
        <w:t xml:space="preserve">Some groundwater basins have clear boundaries, can be identified as rock strata in the form of geological deposits and geological structures, where the basin has a contrast of physical properties (density, resistivity, or susceptibility) with the environment. </w:t>
      </w:r>
      <w:r w:rsidR="00F969F7">
        <w:rPr>
          <w:rFonts w:ascii="Times New Roman" w:eastAsia="Batang" w:hAnsi="Times New Roman"/>
          <w:szCs w:val="22"/>
          <w:lang w:val="en-US" w:eastAsia="ko-KR"/>
        </w:rPr>
        <w:t>T</w:t>
      </w:r>
      <w:r w:rsidR="00F969F7" w:rsidRPr="00F969F7">
        <w:rPr>
          <w:rFonts w:ascii="Times New Roman" w:eastAsia="Batang" w:hAnsi="Times New Roman"/>
          <w:szCs w:val="22"/>
          <w:lang w:val="id-ID" w:eastAsia="ko-KR"/>
        </w:rPr>
        <w:t>he basins of groundwater may also consist of aquifers at various depths which can be characterized as sub-basins</w:t>
      </w:r>
      <w:r w:rsidRPr="00F047E7">
        <w:rPr>
          <w:rFonts w:ascii="Times New Roman" w:eastAsia="Batang" w:hAnsi="Times New Roman"/>
          <w:szCs w:val="22"/>
          <w:lang w:val="id-ID" w:eastAsia="ko-KR"/>
        </w:rPr>
        <w:t>. Groundwater basins in deltas, where rivers end their paths and meet at sea, have complicated problems. Rivers move material from land to sea, so deltas are also the main reservoir of sediment, nutrients, and carbon [</w:t>
      </w:r>
      <w:r w:rsidR="00375D49">
        <w:rPr>
          <w:rFonts w:ascii="Times New Roman" w:eastAsia="Batang" w:hAnsi="Times New Roman"/>
          <w:szCs w:val="22"/>
          <w:lang w:val="en-ID" w:eastAsia="ko-KR"/>
        </w:rPr>
        <w:t>3</w:t>
      </w:r>
      <w:r w:rsidRPr="00F047E7">
        <w:rPr>
          <w:rFonts w:ascii="Times New Roman" w:eastAsia="Batang" w:hAnsi="Times New Roman"/>
          <w:szCs w:val="22"/>
          <w:lang w:val="id-ID" w:eastAsia="ko-KR"/>
        </w:rPr>
        <w:t>]. The deposition and interaction of shallow groundwater and groundwater in a delta are very dependent on the properties of the delta [</w:t>
      </w:r>
      <w:r w:rsidR="00375D49">
        <w:rPr>
          <w:rFonts w:ascii="Times New Roman" w:eastAsia="Batang" w:hAnsi="Times New Roman"/>
          <w:szCs w:val="22"/>
          <w:lang w:val="en-ID" w:eastAsia="ko-KR"/>
        </w:rPr>
        <w:t>4</w:t>
      </w:r>
      <w:r w:rsidRPr="00F047E7">
        <w:rPr>
          <w:rFonts w:ascii="Times New Roman" w:eastAsia="Batang" w:hAnsi="Times New Roman"/>
          <w:szCs w:val="22"/>
          <w:lang w:val="id-ID" w:eastAsia="ko-KR"/>
        </w:rPr>
        <w:t>].</w:t>
      </w:r>
    </w:p>
    <w:p w:rsidR="005F1A15" w:rsidRDefault="00F047E7" w:rsidP="005F1A15">
      <w:pPr>
        <w:ind w:firstLine="284"/>
        <w:jc w:val="both"/>
        <w:rPr>
          <w:rFonts w:ascii="Times New Roman" w:eastAsia="Batang" w:hAnsi="Times New Roman"/>
          <w:szCs w:val="22"/>
          <w:lang w:val="id-ID" w:eastAsia="ko-KR"/>
        </w:rPr>
      </w:pPr>
      <w:r w:rsidRPr="00F047E7">
        <w:rPr>
          <w:rFonts w:ascii="Times New Roman" w:eastAsia="Batang" w:hAnsi="Times New Roman"/>
          <w:szCs w:val="22"/>
          <w:lang w:val="id-ID" w:eastAsia="ko-KR"/>
        </w:rPr>
        <w:t>Among all geophysical methods, geoelectric methods are commonly used for local groundwater characteristics. However,</w:t>
      </w:r>
      <w:r w:rsidR="006D32AD">
        <w:rPr>
          <w:rFonts w:ascii="Times New Roman" w:eastAsia="Batang" w:hAnsi="Times New Roman"/>
          <w:szCs w:val="22"/>
          <w:lang w:val="en-US" w:eastAsia="ko-KR"/>
        </w:rPr>
        <w:t xml:space="preserve"> to </w:t>
      </w:r>
      <w:r w:rsidR="006D32AD" w:rsidRPr="00F047E7">
        <w:rPr>
          <w:rFonts w:ascii="Times New Roman" w:eastAsia="Batang" w:hAnsi="Times New Roman"/>
          <w:szCs w:val="22"/>
          <w:lang w:val="id-ID" w:eastAsia="ko-KR"/>
        </w:rPr>
        <w:t>study of regional groundwater basins</w:t>
      </w:r>
      <w:r w:rsidRPr="00F047E7">
        <w:rPr>
          <w:rFonts w:ascii="Times New Roman" w:eastAsia="Batang" w:hAnsi="Times New Roman"/>
          <w:szCs w:val="22"/>
          <w:lang w:val="id-ID" w:eastAsia="ko-KR"/>
        </w:rPr>
        <w:t xml:space="preserve"> the best choice </w:t>
      </w:r>
      <w:r w:rsidR="003F2104" w:rsidRPr="00F047E7">
        <w:rPr>
          <w:rFonts w:ascii="Times New Roman" w:eastAsia="Batang" w:hAnsi="Times New Roman"/>
          <w:szCs w:val="22"/>
          <w:lang w:val="id-ID" w:eastAsia="ko-KR"/>
        </w:rPr>
        <w:t>is still the gravity method</w:t>
      </w:r>
      <w:r w:rsidRPr="00F047E7">
        <w:rPr>
          <w:rFonts w:ascii="Times New Roman" w:eastAsia="Batang" w:hAnsi="Times New Roman"/>
          <w:szCs w:val="22"/>
          <w:lang w:val="id-ID" w:eastAsia="ko-KR"/>
        </w:rPr>
        <w:t xml:space="preserve"> [</w:t>
      </w:r>
      <w:r w:rsidR="00375D49">
        <w:rPr>
          <w:rFonts w:ascii="Times New Roman" w:eastAsia="Batang" w:hAnsi="Times New Roman"/>
          <w:szCs w:val="22"/>
          <w:lang w:val="en-ID" w:eastAsia="ko-KR"/>
        </w:rPr>
        <w:t>5</w:t>
      </w:r>
      <w:r w:rsidRPr="00F047E7">
        <w:rPr>
          <w:rFonts w:ascii="Times New Roman" w:eastAsia="Batang" w:hAnsi="Times New Roman"/>
          <w:szCs w:val="22"/>
          <w:lang w:val="id-ID" w:eastAsia="ko-KR"/>
        </w:rPr>
        <w:t xml:space="preserve">]. The gravity method can be </w:t>
      </w:r>
      <w:r w:rsidR="004B2DF5" w:rsidRPr="004B2DF5">
        <w:rPr>
          <w:rFonts w:ascii="Times New Roman" w:eastAsia="Batang" w:hAnsi="Times New Roman"/>
          <w:szCs w:val="22"/>
          <w:lang w:val="id-ID" w:eastAsia="ko-KR"/>
        </w:rPr>
        <w:t xml:space="preserve">implemented in groundwater investigation </w:t>
      </w:r>
      <w:r w:rsidR="004B2DF5">
        <w:rPr>
          <w:rFonts w:ascii="Times New Roman" w:eastAsia="Batang" w:hAnsi="Times New Roman"/>
          <w:szCs w:val="22"/>
          <w:lang w:val="en-US" w:eastAsia="ko-KR"/>
        </w:rPr>
        <w:t xml:space="preserve">such as </w:t>
      </w:r>
      <w:r w:rsidRPr="00F047E7">
        <w:rPr>
          <w:rFonts w:ascii="Times New Roman" w:eastAsia="Batang" w:hAnsi="Times New Roman"/>
          <w:szCs w:val="22"/>
          <w:lang w:val="id-ID" w:eastAsia="ko-KR"/>
        </w:rPr>
        <w:t>a granite environment [</w:t>
      </w:r>
      <w:r w:rsidR="00375D49">
        <w:rPr>
          <w:rFonts w:ascii="Times New Roman" w:eastAsia="Batang" w:hAnsi="Times New Roman"/>
          <w:szCs w:val="22"/>
          <w:lang w:val="en-ID" w:eastAsia="ko-KR"/>
        </w:rPr>
        <w:t>6</w:t>
      </w:r>
      <w:r w:rsidRPr="00F047E7">
        <w:rPr>
          <w:rFonts w:ascii="Times New Roman" w:eastAsia="Batang" w:hAnsi="Times New Roman"/>
          <w:szCs w:val="22"/>
          <w:lang w:val="id-ID" w:eastAsia="ko-KR"/>
        </w:rPr>
        <w:t xml:space="preserve">]. In this research, </w:t>
      </w:r>
      <w:r w:rsidR="004B2DF5">
        <w:rPr>
          <w:rFonts w:ascii="Times New Roman" w:eastAsia="Batang" w:hAnsi="Times New Roman"/>
          <w:szCs w:val="22"/>
          <w:lang w:val="en-US" w:eastAsia="ko-KR"/>
        </w:rPr>
        <w:t xml:space="preserve">the anomaly data of </w:t>
      </w:r>
      <w:r w:rsidRPr="00F047E7">
        <w:rPr>
          <w:rFonts w:ascii="Times New Roman" w:eastAsia="Batang" w:hAnsi="Times New Roman"/>
          <w:szCs w:val="22"/>
          <w:lang w:val="id-ID" w:eastAsia="ko-KR"/>
        </w:rPr>
        <w:t>residual gravity and Second Vertical Derivative (SVD) gravity are applied to delineate and identify potential sub-basins as potential rock layers to be an aquifer.</w:t>
      </w:r>
    </w:p>
    <w:p w:rsidR="005F1A15" w:rsidRDefault="00D65262" w:rsidP="005F1A15">
      <w:pPr>
        <w:ind w:firstLine="284"/>
        <w:jc w:val="both"/>
        <w:rPr>
          <w:rFonts w:ascii="Times New Roman" w:eastAsia="Batang" w:hAnsi="Times New Roman"/>
          <w:szCs w:val="22"/>
          <w:lang w:val="id-ID" w:eastAsia="ko-KR"/>
        </w:rPr>
      </w:pPr>
      <w:r>
        <w:rPr>
          <w:rFonts w:ascii="Times New Roman" w:eastAsia="Batang" w:hAnsi="Times New Roman"/>
          <w:szCs w:val="22"/>
          <w:lang w:val="en-US" w:eastAsia="ko-KR"/>
        </w:rPr>
        <w:t xml:space="preserve">A </w:t>
      </w:r>
      <w:r w:rsidRPr="00D65262">
        <w:rPr>
          <w:rFonts w:ascii="Times New Roman" w:eastAsia="Batang" w:hAnsi="Times New Roman"/>
          <w:szCs w:val="22"/>
          <w:lang w:val="id-ID" w:eastAsia="ko-KR"/>
        </w:rPr>
        <w:t xml:space="preserve">gravity investigation had done by the Minnesota Geological Survey to map the </w:t>
      </w:r>
      <w:r w:rsidR="00E14C66">
        <w:rPr>
          <w:rFonts w:ascii="Times New Roman" w:eastAsia="Batang" w:hAnsi="Times New Roman"/>
          <w:szCs w:val="22"/>
          <w:lang w:val="en-US" w:eastAsia="ko-KR"/>
        </w:rPr>
        <w:t xml:space="preserve">potential of groundwater </w:t>
      </w:r>
      <w:r w:rsidR="00395086">
        <w:rPr>
          <w:rFonts w:ascii="Times New Roman" w:eastAsia="Batang" w:hAnsi="Times New Roman"/>
          <w:szCs w:val="22"/>
          <w:lang w:val="en-US" w:eastAsia="ko-KR"/>
        </w:rPr>
        <w:t xml:space="preserve">and the </w:t>
      </w:r>
      <w:r w:rsidRPr="00D65262">
        <w:rPr>
          <w:rFonts w:ascii="Times New Roman" w:eastAsia="Batang" w:hAnsi="Times New Roman"/>
          <w:szCs w:val="22"/>
          <w:lang w:val="id-ID" w:eastAsia="ko-KR"/>
        </w:rPr>
        <w:t xml:space="preserve">thickness particularly in a sedimentary </w:t>
      </w:r>
      <w:r w:rsidR="00395086">
        <w:rPr>
          <w:rFonts w:ascii="Times New Roman" w:eastAsia="Batang" w:hAnsi="Times New Roman"/>
          <w:szCs w:val="22"/>
          <w:lang w:val="en-US" w:eastAsia="ko-KR"/>
        </w:rPr>
        <w:t xml:space="preserve">host </w:t>
      </w:r>
      <w:r w:rsidRPr="00D65262">
        <w:rPr>
          <w:rFonts w:ascii="Times New Roman" w:eastAsia="Batang" w:hAnsi="Times New Roman"/>
          <w:szCs w:val="22"/>
          <w:lang w:val="id-ID" w:eastAsia="ko-KR"/>
        </w:rPr>
        <w:t>rock</w:t>
      </w:r>
      <w:r w:rsidR="00F047E7" w:rsidRPr="00F047E7">
        <w:rPr>
          <w:rFonts w:ascii="Times New Roman" w:eastAsia="Batang" w:hAnsi="Times New Roman"/>
          <w:szCs w:val="22"/>
          <w:lang w:val="id-ID" w:eastAsia="ko-KR"/>
        </w:rPr>
        <w:t xml:space="preserve"> [</w:t>
      </w:r>
      <w:r w:rsidR="00375D49">
        <w:rPr>
          <w:rFonts w:ascii="Times New Roman" w:eastAsia="Batang" w:hAnsi="Times New Roman"/>
          <w:szCs w:val="22"/>
          <w:lang w:val="en-ID" w:eastAsia="ko-KR"/>
        </w:rPr>
        <w:t>7</w:t>
      </w:r>
      <w:r w:rsidR="00F047E7" w:rsidRPr="00F047E7">
        <w:rPr>
          <w:rFonts w:ascii="Times New Roman" w:eastAsia="Batang" w:hAnsi="Times New Roman"/>
          <w:szCs w:val="22"/>
          <w:lang w:val="id-ID" w:eastAsia="ko-KR"/>
        </w:rPr>
        <w:t xml:space="preserve">]. One of the oldest gravity survey applications was the groundwater exploration in the glacier </w:t>
      </w:r>
      <w:r>
        <w:rPr>
          <w:rFonts w:ascii="Times New Roman" w:eastAsia="Batang" w:hAnsi="Times New Roman"/>
          <w:szCs w:val="22"/>
          <w:lang w:val="en-US" w:eastAsia="ko-KR"/>
        </w:rPr>
        <w:t>area</w:t>
      </w:r>
      <w:r w:rsidR="00F047E7" w:rsidRPr="00F047E7">
        <w:rPr>
          <w:rFonts w:ascii="Times New Roman" w:eastAsia="Batang" w:hAnsi="Times New Roman"/>
          <w:szCs w:val="22"/>
          <w:lang w:val="id-ID" w:eastAsia="ko-KR"/>
        </w:rPr>
        <w:t xml:space="preserve"> [</w:t>
      </w:r>
      <w:r w:rsidR="00375D49">
        <w:rPr>
          <w:rFonts w:ascii="Times New Roman" w:eastAsia="Batang" w:hAnsi="Times New Roman"/>
          <w:szCs w:val="22"/>
          <w:lang w:val="en-ID" w:eastAsia="ko-KR"/>
        </w:rPr>
        <w:t>8</w:t>
      </w:r>
      <w:r w:rsidR="00F047E7" w:rsidRPr="00F047E7">
        <w:rPr>
          <w:rFonts w:ascii="Times New Roman" w:eastAsia="Batang" w:hAnsi="Times New Roman"/>
          <w:szCs w:val="22"/>
          <w:lang w:val="id-ID" w:eastAsia="ko-KR"/>
        </w:rPr>
        <w:t xml:space="preserve">]. </w:t>
      </w:r>
      <w:r w:rsidR="00C649C6" w:rsidRPr="00C649C6">
        <w:rPr>
          <w:rFonts w:ascii="Times New Roman" w:eastAsia="Batang" w:hAnsi="Times New Roman"/>
          <w:szCs w:val="22"/>
          <w:lang w:val="id-ID" w:eastAsia="ko-KR"/>
        </w:rPr>
        <w:t>They mapped the basin location and depth of bedrock for the groundwater sources</w:t>
      </w:r>
      <w:r w:rsidR="00F047E7" w:rsidRPr="00F047E7">
        <w:rPr>
          <w:rFonts w:ascii="Times New Roman" w:eastAsia="Batang" w:hAnsi="Times New Roman"/>
          <w:szCs w:val="22"/>
          <w:lang w:val="id-ID" w:eastAsia="ko-KR"/>
        </w:rPr>
        <w:t>.</w:t>
      </w:r>
      <w:r w:rsidR="0095478A">
        <w:rPr>
          <w:rFonts w:ascii="Times New Roman" w:eastAsia="Batang" w:hAnsi="Times New Roman"/>
          <w:szCs w:val="22"/>
          <w:lang w:val="en-US" w:eastAsia="ko-KR"/>
        </w:rPr>
        <w:t xml:space="preserve"> Whereas,</w:t>
      </w:r>
      <w:r w:rsidR="00C649C6">
        <w:rPr>
          <w:rFonts w:ascii="Times New Roman" w:eastAsia="Batang" w:hAnsi="Times New Roman"/>
          <w:szCs w:val="22"/>
          <w:lang w:val="en-US" w:eastAsia="ko-KR"/>
        </w:rPr>
        <w:t xml:space="preserve"> </w:t>
      </w:r>
      <w:r w:rsidR="00C649C6" w:rsidRPr="00C649C6">
        <w:rPr>
          <w:rFonts w:ascii="Times New Roman" w:eastAsia="Batang" w:hAnsi="Times New Roman"/>
          <w:szCs w:val="22"/>
          <w:lang w:val="en-US" w:eastAsia="ko-KR"/>
        </w:rPr>
        <w:t xml:space="preserve">several other studies used a combination of different geophysical methods with gravity methods </w:t>
      </w:r>
      <w:r w:rsidR="00F047E7" w:rsidRPr="00F047E7">
        <w:rPr>
          <w:rFonts w:ascii="Times New Roman" w:eastAsia="Batang" w:hAnsi="Times New Roman"/>
          <w:szCs w:val="22"/>
          <w:lang w:val="id-ID" w:eastAsia="ko-KR"/>
        </w:rPr>
        <w:t>[</w:t>
      </w:r>
      <w:r w:rsidR="00375D49">
        <w:rPr>
          <w:rFonts w:ascii="Times New Roman" w:eastAsia="Batang" w:hAnsi="Times New Roman"/>
          <w:szCs w:val="22"/>
          <w:lang w:val="en-ID" w:eastAsia="ko-KR"/>
        </w:rPr>
        <w:t>9</w:t>
      </w:r>
      <w:r w:rsidR="00F047E7" w:rsidRPr="00F047E7">
        <w:rPr>
          <w:rFonts w:ascii="Times New Roman" w:eastAsia="Batang" w:hAnsi="Times New Roman"/>
          <w:szCs w:val="22"/>
          <w:lang w:val="id-ID" w:eastAsia="ko-KR"/>
        </w:rPr>
        <w:t>–1</w:t>
      </w:r>
      <w:r w:rsidR="00375D49">
        <w:rPr>
          <w:rFonts w:ascii="Times New Roman" w:eastAsia="Batang" w:hAnsi="Times New Roman"/>
          <w:szCs w:val="22"/>
          <w:lang w:val="en-ID" w:eastAsia="ko-KR"/>
        </w:rPr>
        <w:t>0</w:t>
      </w:r>
      <w:r w:rsidR="00F047E7" w:rsidRPr="00F047E7">
        <w:rPr>
          <w:rFonts w:ascii="Times New Roman" w:eastAsia="Batang" w:hAnsi="Times New Roman"/>
          <w:szCs w:val="22"/>
          <w:lang w:val="id-ID" w:eastAsia="ko-KR"/>
        </w:rPr>
        <w:t xml:space="preserve">]. </w:t>
      </w:r>
      <w:r w:rsidR="00E40349" w:rsidRPr="00E40349">
        <w:rPr>
          <w:rFonts w:ascii="Times New Roman" w:eastAsia="Batang" w:hAnsi="Times New Roman"/>
          <w:szCs w:val="22"/>
          <w:lang w:val="en-US" w:eastAsia="ko-KR"/>
        </w:rPr>
        <w:t>Therefore, the overall studies have shown the efficiency of gravity methods are for regional groundwater exploration.</w:t>
      </w:r>
    </w:p>
    <w:p w:rsidR="00366940" w:rsidRPr="006C2F74" w:rsidRDefault="00BF481C" w:rsidP="005F1A15">
      <w:pPr>
        <w:ind w:firstLine="284"/>
        <w:jc w:val="both"/>
        <w:rPr>
          <w:rFonts w:ascii="Times New Roman" w:eastAsia="Batang" w:hAnsi="Times New Roman"/>
          <w:szCs w:val="22"/>
          <w:lang w:val="id-ID" w:eastAsia="ko-KR"/>
        </w:rPr>
      </w:pPr>
      <w:r w:rsidRPr="00BF481C">
        <w:rPr>
          <w:rFonts w:ascii="Times New Roman" w:eastAsia="Batang" w:hAnsi="Times New Roman"/>
          <w:szCs w:val="22"/>
          <w:lang w:val="id-ID" w:eastAsia="ko-KR"/>
        </w:rPr>
        <w:t>Gravity method is sensitive t</w:t>
      </w:r>
      <w:r>
        <w:rPr>
          <w:rFonts w:ascii="Times New Roman" w:eastAsia="Batang" w:hAnsi="Times New Roman"/>
          <w:szCs w:val="22"/>
          <w:lang w:val="id-ID" w:eastAsia="ko-KR"/>
        </w:rPr>
        <w:t>o subsurface variations of mass</w:t>
      </w:r>
      <w:r w:rsidR="00F047E7" w:rsidRPr="00F047E7">
        <w:rPr>
          <w:rFonts w:ascii="Times New Roman" w:eastAsia="Batang" w:hAnsi="Times New Roman"/>
          <w:szCs w:val="22"/>
          <w:lang w:val="id-ID" w:eastAsia="ko-KR"/>
        </w:rPr>
        <w:t xml:space="preserve">, and </w:t>
      </w:r>
      <w:r w:rsidR="00960FD5">
        <w:rPr>
          <w:rFonts w:ascii="Times New Roman" w:eastAsia="Batang" w:hAnsi="Times New Roman"/>
          <w:szCs w:val="22"/>
          <w:lang w:val="en-US" w:eastAsia="ko-KR"/>
        </w:rPr>
        <w:t xml:space="preserve">the </w:t>
      </w:r>
      <w:r w:rsidR="00F047E7" w:rsidRPr="00F047E7">
        <w:rPr>
          <w:rFonts w:ascii="Times New Roman" w:eastAsia="Batang" w:hAnsi="Times New Roman"/>
          <w:szCs w:val="22"/>
          <w:lang w:val="id-ID" w:eastAsia="ko-KR"/>
        </w:rPr>
        <w:t xml:space="preserve">improvements in gravimeter allow the current investigations to </w:t>
      </w:r>
      <w:r w:rsidR="00B374DC" w:rsidRPr="00B374DC">
        <w:rPr>
          <w:rFonts w:ascii="Times New Roman" w:eastAsia="Batang" w:hAnsi="Times New Roman"/>
          <w:szCs w:val="22"/>
          <w:lang w:val="id-ID" w:eastAsia="ko-KR"/>
        </w:rPr>
        <w:t>detect small variances caused by lowering water inside unconfined aquifers</w:t>
      </w:r>
      <w:r w:rsidR="00F047E7" w:rsidRPr="00F047E7">
        <w:rPr>
          <w:rFonts w:ascii="Times New Roman" w:eastAsia="Batang" w:hAnsi="Times New Roman"/>
          <w:szCs w:val="22"/>
          <w:lang w:val="id-ID" w:eastAsia="ko-KR"/>
        </w:rPr>
        <w:t xml:space="preserve"> [1</w:t>
      </w:r>
      <w:r w:rsidR="00375D49">
        <w:rPr>
          <w:rFonts w:ascii="Times New Roman" w:eastAsia="Batang" w:hAnsi="Times New Roman"/>
          <w:szCs w:val="22"/>
          <w:lang w:val="en-ID" w:eastAsia="ko-KR"/>
        </w:rPr>
        <w:t>1</w:t>
      </w:r>
      <w:r w:rsidR="00F047E7" w:rsidRPr="00F047E7">
        <w:rPr>
          <w:rFonts w:ascii="Times New Roman" w:eastAsia="Batang" w:hAnsi="Times New Roman"/>
          <w:szCs w:val="22"/>
          <w:lang w:val="id-ID" w:eastAsia="ko-KR"/>
        </w:rPr>
        <w:t>, 1</w:t>
      </w:r>
      <w:r w:rsidR="00375D49">
        <w:rPr>
          <w:rFonts w:ascii="Times New Roman" w:eastAsia="Batang" w:hAnsi="Times New Roman"/>
          <w:szCs w:val="22"/>
          <w:lang w:val="en-ID" w:eastAsia="ko-KR"/>
        </w:rPr>
        <w:t>2</w:t>
      </w:r>
      <w:r w:rsidR="00F047E7" w:rsidRPr="00F047E7">
        <w:rPr>
          <w:rFonts w:ascii="Times New Roman" w:eastAsia="Batang" w:hAnsi="Times New Roman"/>
          <w:szCs w:val="22"/>
          <w:lang w:val="id-ID" w:eastAsia="ko-KR"/>
        </w:rPr>
        <w:t xml:space="preserve">]. Furthermore, </w:t>
      </w:r>
      <w:r w:rsidR="00114FD7" w:rsidRPr="00114FD7">
        <w:rPr>
          <w:rFonts w:ascii="Times New Roman" w:eastAsia="Batang" w:hAnsi="Times New Roman"/>
          <w:szCs w:val="22"/>
          <w:lang w:val="id-ID" w:eastAsia="ko-KR"/>
        </w:rPr>
        <w:t>research of gravity method in Colorado has detected that groundwater depth changes can be identified</w:t>
      </w:r>
      <w:r w:rsidR="00F047E7" w:rsidRPr="00F047E7">
        <w:rPr>
          <w:rFonts w:ascii="Times New Roman" w:eastAsia="Batang" w:hAnsi="Times New Roman"/>
          <w:szCs w:val="22"/>
          <w:lang w:val="id-ID" w:eastAsia="ko-KR"/>
        </w:rPr>
        <w:t>. The anomaly differences measured in the same place at two different times</w:t>
      </w:r>
      <w:r w:rsidR="008A3D3C">
        <w:rPr>
          <w:rFonts w:ascii="Times New Roman" w:eastAsia="Batang" w:hAnsi="Times New Roman"/>
          <w:szCs w:val="22"/>
          <w:lang w:val="en-US" w:eastAsia="ko-KR"/>
        </w:rPr>
        <w:t>, where t</w:t>
      </w:r>
      <w:r w:rsidR="00F047E7" w:rsidRPr="00F047E7">
        <w:rPr>
          <w:rFonts w:ascii="Times New Roman" w:eastAsia="Batang" w:hAnsi="Times New Roman"/>
          <w:szCs w:val="22"/>
          <w:lang w:val="id-ID" w:eastAsia="ko-KR"/>
        </w:rPr>
        <w:t>hese positive differences are correlated with the groundwater influx and the negative contrasts with water removal [1</w:t>
      </w:r>
      <w:r w:rsidR="00375D49">
        <w:rPr>
          <w:rFonts w:ascii="Times New Roman" w:eastAsia="Batang" w:hAnsi="Times New Roman"/>
          <w:szCs w:val="22"/>
          <w:lang w:val="en-ID" w:eastAsia="ko-KR"/>
        </w:rPr>
        <w:t>3</w:t>
      </w:r>
      <w:r w:rsidR="00F047E7" w:rsidRPr="00F047E7">
        <w:rPr>
          <w:rFonts w:ascii="Times New Roman" w:eastAsia="Batang" w:hAnsi="Times New Roman"/>
          <w:szCs w:val="22"/>
          <w:lang w:val="id-ID" w:eastAsia="ko-KR"/>
        </w:rPr>
        <w:t xml:space="preserve">]. </w:t>
      </w:r>
      <w:r w:rsidR="00F04F13" w:rsidRPr="00F04F13">
        <w:rPr>
          <w:rFonts w:ascii="Times New Roman" w:eastAsia="Batang" w:hAnsi="Times New Roman"/>
          <w:szCs w:val="22"/>
          <w:lang w:val="id-ID" w:eastAsia="ko-KR"/>
        </w:rPr>
        <w:t>Continuous of gravity monitoring is possible and shortly might be a common practice</w:t>
      </w:r>
      <w:r w:rsidR="00F047E7" w:rsidRPr="00F047E7">
        <w:rPr>
          <w:rFonts w:ascii="Times New Roman" w:eastAsia="Batang" w:hAnsi="Times New Roman"/>
          <w:szCs w:val="22"/>
          <w:lang w:val="id-ID" w:eastAsia="ko-KR"/>
        </w:rPr>
        <w:t xml:space="preserve"> [1</w:t>
      </w:r>
      <w:r w:rsidR="00375D49">
        <w:rPr>
          <w:rFonts w:ascii="Times New Roman" w:eastAsia="Batang" w:hAnsi="Times New Roman"/>
          <w:szCs w:val="22"/>
          <w:lang w:val="en-ID" w:eastAsia="ko-KR"/>
        </w:rPr>
        <w:t>1</w:t>
      </w:r>
      <w:r w:rsidR="00F047E7" w:rsidRPr="00F047E7">
        <w:rPr>
          <w:rFonts w:ascii="Times New Roman" w:eastAsia="Batang" w:hAnsi="Times New Roman"/>
          <w:szCs w:val="22"/>
          <w:lang w:val="id-ID" w:eastAsia="ko-KR"/>
        </w:rPr>
        <w:t>].</w:t>
      </w:r>
      <w:r w:rsidR="006C359B">
        <w:rPr>
          <w:rFonts w:ascii="Times New Roman" w:eastAsia="Batang" w:hAnsi="Times New Roman"/>
          <w:szCs w:val="22"/>
          <w:lang w:val="en-US" w:eastAsia="ko-KR"/>
        </w:rPr>
        <w:t xml:space="preserve"> </w:t>
      </w:r>
      <w:r w:rsidR="00F047E7" w:rsidRPr="00F047E7">
        <w:rPr>
          <w:rFonts w:ascii="Times New Roman" w:eastAsia="Batang" w:hAnsi="Times New Roman"/>
          <w:szCs w:val="22"/>
          <w:lang w:val="id-ID" w:eastAsia="ko-KR"/>
        </w:rPr>
        <w:t xml:space="preserve">Variations of Bouguer anomalies can reflect lateral variations in density so that high-density features in medium with low density should give rise to positive Bouguer anomalies. While, the low-density features in higher density mediums will produce negative Bouguer anomalies </w:t>
      </w:r>
      <w:r w:rsidR="00375D49">
        <w:rPr>
          <w:rFonts w:ascii="Times New Roman" w:eastAsia="Batang" w:hAnsi="Times New Roman"/>
          <w:szCs w:val="22"/>
          <w:lang w:val="en-ID" w:eastAsia="ko-KR"/>
        </w:rPr>
        <w:t>[14].</w:t>
      </w:r>
    </w:p>
    <w:p w:rsidR="00245CC0" w:rsidRPr="00C61279" w:rsidRDefault="00245CC0" w:rsidP="006C2F74">
      <w:pPr>
        <w:pStyle w:val="Abstract"/>
        <w:numPr>
          <w:ilvl w:val="0"/>
          <w:numId w:val="19"/>
        </w:numPr>
        <w:spacing w:before="240" w:after="0"/>
        <w:ind w:left="284" w:right="-1" w:hanging="284"/>
        <w:rPr>
          <w:b/>
          <w:sz w:val="22"/>
          <w:lang w:val="id-ID"/>
        </w:rPr>
      </w:pPr>
      <w:r w:rsidRPr="00C61279">
        <w:rPr>
          <w:b/>
          <w:sz w:val="22"/>
          <w:lang w:val="id-ID"/>
        </w:rPr>
        <w:t>Data and Processing</w:t>
      </w:r>
    </w:p>
    <w:p w:rsidR="00205AC5" w:rsidRPr="004F4857" w:rsidRDefault="004F4857" w:rsidP="00205AC5">
      <w:pPr>
        <w:jc w:val="both"/>
        <w:rPr>
          <w:rFonts w:ascii="Times New Roman" w:hAnsi="Times New Roman"/>
          <w:color w:val="000000"/>
          <w:szCs w:val="22"/>
          <w:lang w:val="en-US"/>
        </w:rPr>
      </w:pPr>
      <w:r w:rsidRPr="004F4857">
        <w:rPr>
          <w:rFonts w:ascii="Times New Roman" w:hAnsi="Times New Roman"/>
          <w:color w:val="000000"/>
          <w:szCs w:val="22"/>
          <w:lang w:val="en-US"/>
        </w:rPr>
        <w:t>The Gravity data is from a measurement that is conducted by ESDM in Bandar Lampung and its surroundings. Gravity data (gobs) consist of 403 data (round marks on the map) with spaces of 2-3 km and an area of 50 x 60 km.</w:t>
      </w:r>
      <w:r w:rsidR="008A3D3C">
        <w:rPr>
          <w:rFonts w:ascii="Times New Roman" w:hAnsi="Times New Roman"/>
          <w:color w:val="000000"/>
          <w:szCs w:val="22"/>
          <w:lang w:val="en-US"/>
        </w:rPr>
        <w:t xml:space="preserve"> </w:t>
      </w:r>
      <w:r w:rsidR="00205AC5">
        <w:rPr>
          <w:rFonts w:ascii="Times New Roman" w:hAnsi="Times New Roman"/>
          <w:color w:val="000000"/>
          <w:szCs w:val="22"/>
          <w:lang w:val="en-US"/>
        </w:rPr>
        <w:t>Furthermore,the g</w:t>
      </w:r>
      <w:r w:rsidR="00205AC5" w:rsidRPr="004F4857">
        <w:rPr>
          <w:rFonts w:ascii="Times New Roman" w:hAnsi="Times New Roman"/>
          <w:color w:val="000000"/>
          <w:szCs w:val="22"/>
          <w:lang w:val="en-US"/>
        </w:rPr>
        <w:t>ravity data is calculated by applying the 1967 International Gravity formula. The data is processed by applying the drift correction</w:t>
      </w:r>
      <w:r w:rsidR="00205AC5">
        <w:rPr>
          <w:rFonts w:ascii="Times New Roman" w:hAnsi="Times New Roman"/>
          <w:color w:val="000000"/>
          <w:szCs w:val="22"/>
          <w:lang w:val="en-US"/>
        </w:rPr>
        <w:t xml:space="preserve"> and</w:t>
      </w:r>
      <w:r w:rsidR="00205AC5" w:rsidRPr="004F4857">
        <w:rPr>
          <w:rFonts w:ascii="Times New Roman" w:hAnsi="Times New Roman"/>
          <w:color w:val="000000"/>
          <w:szCs w:val="22"/>
          <w:lang w:val="en-US"/>
        </w:rPr>
        <w:t xml:space="preserve"> tide correction of the Longman equation. </w:t>
      </w:r>
      <w:r w:rsidR="000F7216" w:rsidRPr="000F7216">
        <w:rPr>
          <w:rFonts w:ascii="Times New Roman" w:hAnsi="Times New Roman"/>
          <w:color w:val="000000"/>
          <w:szCs w:val="22"/>
          <w:lang w:val="en-US"/>
        </w:rPr>
        <w:t>Bouguer and free-air gravity corrections were done using 2.67 g / cm</w:t>
      </w:r>
      <w:r w:rsidR="000F7216" w:rsidRPr="000F7216">
        <w:rPr>
          <w:rFonts w:ascii="Times New Roman" w:hAnsi="Times New Roman"/>
          <w:color w:val="000000"/>
          <w:szCs w:val="22"/>
          <w:vertAlign w:val="superscript"/>
          <w:lang w:val="en-US"/>
        </w:rPr>
        <w:t>3</w:t>
      </w:r>
      <w:r w:rsidR="000F7216" w:rsidRPr="000F7216">
        <w:rPr>
          <w:rFonts w:ascii="Times New Roman" w:hAnsi="Times New Roman"/>
          <w:color w:val="000000"/>
          <w:szCs w:val="22"/>
          <w:lang w:val="en-US"/>
        </w:rPr>
        <w:t xml:space="preserve"> as a reduction density and sea level as a datum</w:t>
      </w:r>
      <w:r w:rsidR="00205AC5" w:rsidRPr="004F4857">
        <w:rPr>
          <w:rFonts w:ascii="Times New Roman" w:hAnsi="Times New Roman"/>
          <w:color w:val="000000"/>
          <w:szCs w:val="22"/>
          <w:lang w:val="en-US"/>
        </w:rPr>
        <w:t>. Calculation of these corrections, including terrain correction, is done by applying the existing algorithm in the Oasis Montaj 8.3 software. The final result of this process is Complete Bouguer Anomaly (Figure 1a).</w:t>
      </w:r>
    </w:p>
    <w:p w:rsidR="0011019E" w:rsidRPr="00295345" w:rsidRDefault="00295345" w:rsidP="00295345">
      <w:pPr>
        <w:ind w:firstLine="284"/>
        <w:jc w:val="both"/>
        <w:rPr>
          <w:rFonts w:ascii="Times New Roman" w:hAnsi="Times New Roman"/>
          <w:color w:val="000000"/>
          <w:szCs w:val="22"/>
          <w:lang w:val="en-US"/>
        </w:rPr>
      </w:pPr>
      <w:r w:rsidRPr="004F4857">
        <w:rPr>
          <w:rFonts w:ascii="Times New Roman" w:hAnsi="Times New Roman"/>
          <w:color w:val="000000"/>
          <w:szCs w:val="22"/>
          <w:lang w:val="en-US"/>
        </w:rPr>
        <w:t>Regional-residual anomaly separation is done through</w:t>
      </w:r>
      <w:r>
        <w:rPr>
          <w:rFonts w:ascii="Times New Roman" w:hAnsi="Times New Roman"/>
          <w:color w:val="000000"/>
          <w:szCs w:val="22"/>
          <w:lang w:val="en-US"/>
        </w:rPr>
        <w:t xml:space="preserve"> the</w:t>
      </w:r>
      <w:r w:rsidRPr="004F4857">
        <w:rPr>
          <w:rFonts w:ascii="Times New Roman" w:hAnsi="Times New Roman"/>
          <w:color w:val="000000"/>
          <w:szCs w:val="22"/>
          <w:lang w:val="en-US"/>
        </w:rPr>
        <w:t xml:space="preserve"> spectrum analysis. The spectral analysis process was made from 12 slices</w:t>
      </w:r>
      <w:r>
        <w:rPr>
          <w:rFonts w:ascii="Times New Roman" w:hAnsi="Times New Roman"/>
          <w:color w:val="000000"/>
          <w:szCs w:val="22"/>
          <w:lang w:val="en-US"/>
        </w:rPr>
        <w:t xml:space="preserve"> in order</w:t>
      </w:r>
      <w:r w:rsidRPr="004F4857">
        <w:rPr>
          <w:rFonts w:ascii="Times New Roman" w:hAnsi="Times New Roman"/>
          <w:color w:val="000000"/>
          <w:szCs w:val="22"/>
          <w:lang w:val="en-US"/>
        </w:rPr>
        <w:t xml:space="preserve"> to determine the depth and the optimal window width in the filtering.</w:t>
      </w:r>
      <w:r w:rsidRPr="00295345">
        <w:rPr>
          <w:rFonts w:ascii="Times New Roman" w:hAnsi="Times New Roman"/>
          <w:color w:val="000000"/>
          <w:szCs w:val="22"/>
          <w:lang w:val="en-US"/>
        </w:rPr>
        <w:t xml:space="preserve"> </w:t>
      </w:r>
      <w:r w:rsidRPr="004F4857">
        <w:rPr>
          <w:rFonts w:ascii="Times New Roman" w:hAnsi="Times New Roman"/>
          <w:color w:val="000000"/>
          <w:szCs w:val="22"/>
          <w:lang w:val="en-US"/>
        </w:rPr>
        <w:t>Fourier Transform then transforms the slices, so we get the value of the amplitude and frequency. Until the end of processing, an analysis is performed on the graph</w:t>
      </w:r>
      <w:r>
        <w:rPr>
          <w:rFonts w:ascii="Times New Roman" w:hAnsi="Times New Roman"/>
          <w:color w:val="000000"/>
          <w:szCs w:val="22"/>
          <w:lang w:val="en-US"/>
        </w:rPr>
        <w:t xml:space="preserve"> </w:t>
      </w:r>
      <w:r w:rsidRPr="004F4857">
        <w:rPr>
          <w:rFonts w:ascii="Times New Roman" w:hAnsi="Times New Roman"/>
          <w:color w:val="000000"/>
          <w:szCs w:val="22"/>
          <w:lang w:val="en-US"/>
        </w:rPr>
        <w:t>between the wave num</w:t>
      </w:r>
      <w:r w:rsidR="00E95038">
        <w:rPr>
          <w:rFonts w:ascii="Times New Roman" w:hAnsi="Times New Roman"/>
          <w:color w:val="000000"/>
          <w:szCs w:val="22"/>
          <w:lang w:val="en-US"/>
        </w:rPr>
        <w:t>-</w:t>
      </w:r>
    </w:p>
    <w:tbl>
      <w:tblPr>
        <w:tblStyle w:val="TableGrid"/>
        <w:tblW w:w="0" w:type="auto"/>
        <w:tblInd w:w="250" w:type="dxa"/>
        <w:tblLook w:val="04A0" w:firstRow="1" w:lastRow="0" w:firstColumn="1" w:lastColumn="0" w:noHBand="0" w:noVBand="1"/>
      </w:tblPr>
      <w:tblGrid>
        <w:gridCol w:w="4393"/>
        <w:gridCol w:w="4396"/>
      </w:tblGrid>
      <w:tr w:rsidR="0011019E" w:rsidTr="0011019E">
        <w:tc>
          <w:tcPr>
            <w:tcW w:w="4393" w:type="dxa"/>
          </w:tcPr>
          <w:p w:rsidR="0011019E" w:rsidRPr="00205AC5" w:rsidRDefault="0011019E" w:rsidP="00332F04">
            <w:pPr>
              <w:pStyle w:val="Abstract"/>
              <w:spacing w:after="0"/>
              <w:ind w:left="0" w:right="-1"/>
              <w:jc w:val="center"/>
              <w:rPr>
                <w:rFonts w:ascii="Times New Roman" w:hAnsi="Times New Roman"/>
                <w:bCs/>
                <w:sz w:val="22"/>
                <w:szCs w:val="22"/>
                <w:lang w:val="en-ID"/>
              </w:rPr>
            </w:pPr>
            <w:r w:rsidRPr="00205AC5">
              <w:rPr>
                <w:noProof/>
                <w:sz w:val="22"/>
                <w:lang w:val="en-US"/>
              </w:rPr>
              <w:lastRenderedPageBreak/>
              <w:drawing>
                <wp:inline distT="0" distB="0" distL="0" distR="0" wp14:anchorId="54E5CB5B" wp14:editId="0EB73C47">
                  <wp:extent cx="2466975" cy="273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BA + titik ukur.jpg"/>
                          <pic:cNvPicPr/>
                        </pic:nvPicPr>
                        <pic:blipFill rotWithShape="1">
                          <a:blip r:embed="rId8" cstate="print">
                            <a:extLst>
                              <a:ext uri="{28A0092B-C50C-407E-A947-70E740481C1C}">
                                <a14:useLocalDpi xmlns:a14="http://schemas.microsoft.com/office/drawing/2010/main" val="0"/>
                              </a:ext>
                            </a:extLst>
                          </a:blip>
                          <a:srcRect r="10705"/>
                          <a:stretch/>
                        </pic:blipFill>
                        <pic:spPr bwMode="auto">
                          <a:xfrm>
                            <a:off x="0" y="0"/>
                            <a:ext cx="2527948" cy="2803843"/>
                          </a:xfrm>
                          <a:prstGeom prst="rect">
                            <a:avLst/>
                          </a:prstGeom>
                          <a:ln>
                            <a:noFill/>
                          </a:ln>
                          <a:extLst>
                            <a:ext uri="{53640926-AAD7-44D8-BBD7-CCE9431645EC}">
                              <a14:shadowObscured xmlns:a14="http://schemas.microsoft.com/office/drawing/2010/main"/>
                            </a:ext>
                          </a:extLst>
                        </pic:spPr>
                      </pic:pic>
                    </a:graphicData>
                  </a:graphic>
                </wp:inline>
              </w:drawing>
            </w:r>
          </w:p>
          <w:p w:rsidR="0011019E" w:rsidRPr="00205AC5" w:rsidRDefault="0011019E" w:rsidP="00332F04">
            <w:pPr>
              <w:pStyle w:val="Abstract"/>
              <w:spacing w:after="0"/>
              <w:ind w:left="0" w:right="-1"/>
              <w:jc w:val="center"/>
              <w:rPr>
                <w:rFonts w:ascii="Times New Roman" w:hAnsi="Times New Roman"/>
                <w:bCs/>
                <w:sz w:val="22"/>
                <w:szCs w:val="22"/>
                <w:lang w:val="en-ID"/>
              </w:rPr>
            </w:pPr>
            <w:r w:rsidRPr="00205AC5">
              <w:rPr>
                <w:rFonts w:ascii="Times New Roman" w:hAnsi="Times New Roman"/>
                <w:bCs/>
                <w:sz w:val="22"/>
                <w:szCs w:val="22"/>
                <w:lang w:val="en-ID"/>
              </w:rPr>
              <w:t>(a)</w:t>
            </w:r>
          </w:p>
        </w:tc>
        <w:tc>
          <w:tcPr>
            <w:tcW w:w="4396" w:type="dxa"/>
          </w:tcPr>
          <w:p w:rsidR="0011019E" w:rsidRPr="00205AC5" w:rsidRDefault="0011019E" w:rsidP="00332F04">
            <w:pPr>
              <w:pStyle w:val="Abstract"/>
              <w:spacing w:after="0"/>
              <w:ind w:left="0" w:right="-1"/>
              <w:jc w:val="center"/>
              <w:rPr>
                <w:rFonts w:ascii="Times New Roman" w:hAnsi="Times New Roman"/>
                <w:bCs/>
                <w:sz w:val="22"/>
                <w:szCs w:val="22"/>
                <w:lang w:val="en-ID"/>
              </w:rPr>
            </w:pPr>
            <w:r w:rsidRPr="00205AC5">
              <w:rPr>
                <w:noProof/>
                <w:sz w:val="22"/>
                <w:lang w:val="en-US"/>
              </w:rPr>
              <w:drawing>
                <wp:inline distT="0" distB="0" distL="0" distR="0" wp14:anchorId="7D9CA81A" wp14:editId="7DE9F450">
                  <wp:extent cx="2295525" cy="27089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gional 1.jpg"/>
                          <pic:cNvPicPr/>
                        </pic:nvPicPr>
                        <pic:blipFill rotWithShape="1">
                          <a:blip r:embed="rId9" cstate="print">
                            <a:extLst>
                              <a:ext uri="{28A0092B-C50C-407E-A947-70E740481C1C}">
                                <a14:useLocalDpi xmlns:a14="http://schemas.microsoft.com/office/drawing/2010/main" val="0"/>
                              </a:ext>
                            </a:extLst>
                          </a:blip>
                          <a:srcRect r="2631"/>
                          <a:stretch/>
                        </pic:blipFill>
                        <pic:spPr bwMode="auto">
                          <a:xfrm>
                            <a:off x="0" y="0"/>
                            <a:ext cx="2330266" cy="2749951"/>
                          </a:xfrm>
                          <a:prstGeom prst="rect">
                            <a:avLst/>
                          </a:prstGeom>
                          <a:ln>
                            <a:noFill/>
                          </a:ln>
                          <a:extLst>
                            <a:ext uri="{53640926-AAD7-44D8-BBD7-CCE9431645EC}">
                              <a14:shadowObscured xmlns:a14="http://schemas.microsoft.com/office/drawing/2010/main"/>
                            </a:ext>
                          </a:extLst>
                        </pic:spPr>
                      </pic:pic>
                    </a:graphicData>
                  </a:graphic>
                </wp:inline>
              </w:drawing>
            </w:r>
          </w:p>
          <w:p w:rsidR="0011019E" w:rsidRPr="00205AC5" w:rsidRDefault="0011019E" w:rsidP="00332F04">
            <w:pPr>
              <w:pStyle w:val="Abstract"/>
              <w:spacing w:after="0"/>
              <w:ind w:left="0" w:right="-1"/>
              <w:jc w:val="center"/>
              <w:rPr>
                <w:rFonts w:ascii="Times New Roman" w:hAnsi="Times New Roman"/>
                <w:bCs/>
                <w:sz w:val="22"/>
                <w:szCs w:val="22"/>
                <w:lang w:val="en-ID"/>
              </w:rPr>
            </w:pPr>
            <w:r w:rsidRPr="00205AC5">
              <w:rPr>
                <w:rFonts w:ascii="Times New Roman" w:hAnsi="Times New Roman"/>
                <w:bCs/>
                <w:sz w:val="22"/>
                <w:szCs w:val="22"/>
                <w:lang w:val="en-ID"/>
              </w:rPr>
              <w:t>(b)</w:t>
            </w:r>
          </w:p>
        </w:tc>
      </w:tr>
    </w:tbl>
    <w:p w:rsidR="00332F04" w:rsidRDefault="00332F04" w:rsidP="00E95038">
      <w:pPr>
        <w:pStyle w:val="Abstract"/>
        <w:spacing w:before="240" w:after="0"/>
        <w:ind w:left="0" w:right="-1"/>
        <w:jc w:val="center"/>
        <w:rPr>
          <w:rFonts w:ascii="Times New Roman" w:hAnsi="Times New Roman"/>
          <w:sz w:val="22"/>
          <w:szCs w:val="22"/>
          <w:lang w:val="id-ID"/>
        </w:rPr>
      </w:pPr>
      <w:r w:rsidRPr="00FF6C4A">
        <w:rPr>
          <w:rFonts w:ascii="Times New Roman" w:hAnsi="Times New Roman"/>
          <w:b/>
          <w:bCs/>
          <w:sz w:val="22"/>
          <w:szCs w:val="22"/>
          <w:lang w:val="en-ID"/>
        </w:rPr>
        <w:t>Figure</w:t>
      </w:r>
      <w:r w:rsidRPr="00FF6C4A">
        <w:rPr>
          <w:rFonts w:ascii="Times New Roman" w:hAnsi="Times New Roman"/>
          <w:b/>
          <w:bCs/>
          <w:sz w:val="22"/>
          <w:szCs w:val="22"/>
          <w:lang w:val="id-ID"/>
        </w:rPr>
        <w:t xml:space="preserve"> 1</w:t>
      </w:r>
      <w:r w:rsidRPr="00C61279">
        <w:rPr>
          <w:rFonts w:ascii="Times New Roman" w:hAnsi="Times New Roman"/>
          <w:sz w:val="22"/>
          <w:szCs w:val="22"/>
          <w:lang w:val="id-ID"/>
        </w:rPr>
        <w:t>.</w:t>
      </w:r>
      <w:r>
        <w:rPr>
          <w:rFonts w:ascii="Times New Roman" w:hAnsi="Times New Roman"/>
          <w:sz w:val="22"/>
          <w:szCs w:val="22"/>
          <w:lang w:val="en-ID"/>
        </w:rPr>
        <w:t xml:space="preserve"> Gravity</w:t>
      </w:r>
      <w:r w:rsidRPr="00C61279">
        <w:rPr>
          <w:rFonts w:ascii="Times New Roman" w:hAnsi="Times New Roman"/>
          <w:sz w:val="22"/>
          <w:szCs w:val="22"/>
          <w:lang w:val="id-ID"/>
        </w:rPr>
        <w:t xml:space="preserve"> Anomaly</w:t>
      </w:r>
      <w:r>
        <w:rPr>
          <w:rFonts w:ascii="Times New Roman" w:hAnsi="Times New Roman"/>
          <w:sz w:val="22"/>
          <w:szCs w:val="22"/>
          <w:lang w:val="en-ID"/>
        </w:rPr>
        <w:t xml:space="preserve">, </w:t>
      </w:r>
      <w:r w:rsidRPr="00C61279">
        <w:rPr>
          <w:rFonts w:ascii="Times New Roman" w:hAnsi="Times New Roman"/>
          <w:sz w:val="22"/>
          <w:szCs w:val="22"/>
          <w:lang w:val="id-ID"/>
        </w:rPr>
        <w:t>(a) Complete Bouguer Anomaly, (b) Regional Bouguer Anomaly</w:t>
      </w:r>
    </w:p>
    <w:p w:rsidR="00332F04" w:rsidRDefault="00332F04" w:rsidP="004F4857">
      <w:pPr>
        <w:jc w:val="both"/>
        <w:rPr>
          <w:rFonts w:ascii="Times New Roman" w:hAnsi="Times New Roman"/>
          <w:color w:val="000000"/>
          <w:szCs w:val="22"/>
          <w:lang w:val="en-US"/>
        </w:rPr>
      </w:pPr>
    </w:p>
    <w:p w:rsidR="006C359B" w:rsidRDefault="00E95038" w:rsidP="00295345">
      <w:pPr>
        <w:jc w:val="both"/>
        <w:rPr>
          <w:rFonts w:ascii="Times New Roman" w:hAnsi="Times New Roman"/>
          <w:color w:val="000000"/>
          <w:szCs w:val="22"/>
          <w:lang w:val="en-US"/>
        </w:rPr>
      </w:pPr>
      <w:r>
        <w:rPr>
          <w:rFonts w:ascii="Times New Roman" w:hAnsi="Times New Roman"/>
          <w:color w:val="000000"/>
          <w:szCs w:val="22"/>
          <w:lang w:val="en-US"/>
        </w:rPr>
        <w:t>-</w:t>
      </w:r>
      <w:r w:rsidRPr="004F4857">
        <w:rPr>
          <w:rFonts w:ascii="Times New Roman" w:hAnsi="Times New Roman"/>
          <w:color w:val="000000"/>
          <w:szCs w:val="22"/>
          <w:lang w:val="en-US"/>
        </w:rPr>
        <w:t>ber (k) on</w:t>
      </w:r>
      <w:r>
        <w:rPr>
          <w:rFonts w:ascii="Times New Roman" w:hAnsi="Times New Roman"/>
          <w:color w:val="000000"/>
          <w:szCs w:val="22"/>
          <w:lang w:val="en-US"/>
        </w:rPr>
        <w:t xml:space="preserve"> </w:t>
      </w:r>
      <w:r w:rsidR="004F4857" w:rsidRPr="004F4857">
        <w:rPr>
          <w:rFonts w:ascii="Times New Roman" w:hAnsi="Times New Roman"/>
          <w:color w:val="000000"/>
          <w:szCs w:val="22"/>
          <w:lang w:val="en-US"/>
        </w:rPr>
        <w:t>the x-axis with the natural amplitude logarithm (LnA) on the y-axis. The results of the spectrum analysis of the 12 slices are shown in Table 1.</w:t>
      </w:r>
    </w:p>
    <w:p w:rsidR="008814FF" w:rsidRDefault="008814FF" w:rsidP="006C359B">
      <w:pPr>
        <w:ind w:firstLine="284"/>
        <w:jc w:val="both"/>
        <w:rPr>
          <w:rFonts w:ascii="Times New Roman" w:hAnsi="Times New Roman"/>
          <w:color w:val="000000"/>
          <w:szCs w:val="22"/>
          <w:lang w:val="en-US"/>
        </w:rPr>
      </w:pPr>
    </w:p>
    <w:p w:rsidR="008814FF" w:rsidRPr="00C61279" w:rsidRDefault="008814FF" w:rsidP="00E95038">
      <w:pPr>
        <w:spacing w:after="240"/>
        <w:ind w:left="360"/>
        <w:jc w:val="center"/>
        <w:rPr>
          <w:rFonts w:ascii="Times New Roman" w:hAnsi="Times New Roman"/>
          <w:szCs w:val="22"/>
          <w:lang w:val="id-ID"/>
        </w:rPr>
      </w:pPr>
      <w:r w:rsidRPr="00C61279">
        <w:rPr>
          <w:rFonts w:ascii="Times New Roman" w:hAnsi="Times New Roman"/>
          <w:b/>
          <w:szCs w:val="22"/>
          <w:lang w:val="id-ID"/>
        </w:rPr>
        <w:t>Tabl</w:t>
      </w:r>
      <w:r>
        <w:rPr>
          <w:rFonts w:ascii="Times New Roman" w:hAnsi="Times New Roman"/>
          <w:b/>
          <w:szCs w:val="22"/>
          <w:lang w:val="en-ID"/>
        </w:rPr>
        <w:t>e</w:t>
      </w:r>
      <w:r w:rsidRPr="00C61279">
        <w:rPr>
          <w:rFonts w:ascii="Times New Roman" w:hAnsi="Times New Roman"/>
          <w:b/>
          <w:szCs w:val="22"/>
          <w:lang w:val="id-ID"/>
        </w:rPr>
        <w:t xml:space="preserve"> 1. </w:t>
      </w:r>
      <w:r w:rsidRPr="00C61279">
        <w:rPr>
          <w:rFonts w:ascii="Times New Roman" w:hAnsi="Times New Roman"/>
          <w:szCs w:val="22"/>
          <w:lang w:val="id-ID"/>
        </w:rPr>
        <w:t>Optimationof windows with spectral analysis</w:t>
      </w:r>
    </w:p>
    <w:tbl>
      <w:tblPr>
        <w:tblStyle w:val="TableGrid"/>
        <w:tblW w:w="0" w:type="auto"/>
        <w:jc w:val="center"/>
        <w:tblLook w:val="04A0" w:firstRow="1" w:lastRow="0" w:firstColumn="1" w:lastColumn="0" w:noHBand="0" w:noVBand="1"/>
      </w:tblPr>
      <w:tblGrid>
        <w:gridCol w:w="1344"/>
        <w:gridCol w:w="1850"/>
        <w:gridCol w:w="1356"/>
        <w:gridCol w:w="1360"/>
        <w:gridCol w:w="13"/>
      </w:tblGrid>
      <w:tr w:rsidR="008814FF" w:rsidRPr="00C61279" w:rsidTr="00A74A66">
        <w:trPr>
          <w:gridAfter w:val="1"/>
          <w:wAfter w:w="13" w:type="dxa"/>
          <w:jc w:val="center"/>
        </w:trPr>
        <w:tc>
          <w:tcPr>
            <w:tcW w:w="1344" w:type="dxa"/>
            <w:vAlign w:val="center"/>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Line</w:t>
            </w:r>
          </w:p>
        </w:tc>
        <w:tc>
          <w:tcPr>
            <w:tcW w:w="1850" w:type="dxa"/>
            <w:vAlign w:val="center"/>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Depth Estimation (m)</w:t>
            </w:r>
          </w:p>
        </w:tc>
        <w:tc>
          <w:tcPr>
            <w:tcW w:w="1356" w:type="dxa"/>
            <w:vAlign w:val="center"/>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i/>
                <w:szCs w:val="22"/>
                <w:lang w:val="id-ID"/>
              </w:rPr>
              <w:t>k</w:t>
            </w:r>
            <w:r w:rsidRPr="00C61279">
              <w:rPr>
                <w:rFonts w:ascii="Times New Roman" w:hAnsi="Times New Roman"/>
                <w:szCs w:val="22"/>
                <w:lang w:val="id-ID"/>
              </w:rPr>
              <w:t xml:space="preserve"> cutoff (1/Hz)</w:t>
            </w:r>
          </w:p>
        </w:tc>
        <w:tc>
          <w:tcPr>
            <w:tcW w:w="1360" w:type="dxa"/>
            <w:vAlign w:val="center"/>
          </w:tcPr>
          <w:p w:rsidR="008814FF" w:rsidRPr="00C61279" w:rsidRDefault="008814FF" w:rsidP="00A74A66">
            <w:pPr>
              <w:ind w:left="-73"/>
              <w:jc w:val="center"/>
              <w:rPr>
                <w:rFonts w:ascii="Times New Roman" w:hAnsi="Times New Roman"/>
                <w:szCs w:val="22"/>
                <w:lang w:val="id-ID"/>
              </w:rPr>
            </w:pPr>
            <w:r w:rsidRPr="00C61279">
              <w:rPr>
                <w:rFonts w:ascii="Times New Roman" w:hAnsi="Times New Roman"/>
                <w:szCs w:val="22"/>
                <w:lang w:val="id-ID"/>
              </w:rPr>
              <w:t>Windows Optimation (1/Hz)</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A</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8792</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0.00037</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11.32</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B</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6828</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0.00044</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9.52</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C</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6867</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0.0006</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6.98</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D</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9280</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0.00041</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10.21</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E</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7475</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0.00041</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10.21</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F</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7091</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0.00044</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9.52</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G</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8375</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0.00041</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10.10</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H</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5066</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0.00045</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9.21</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I</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7802</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0.00040</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10.47</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J</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10750</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0.00029</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14.60</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K</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9320</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0.00037</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11.34</w:t>
            </w:r>
          </w:p>
        </w:tc>
      </w:tr>
      <w:tr w:rsidR="008814FF" w:rsidRPr="00C61279" w:rsidTr="00A74A66">
        <w:trPr>
          <w:gridAfter w:val="1"/>
          <w:wAfter w:w="13" w:type="dxa"/>
          <w:jc w:val="center"/>
        </w:trPr>
        <w:tc>
          <w:tcPr>
            <w:tcW w:w="1344"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L</w:t>
            </w:r>
          </w:p>
        </w:tc>
        <w:tc>
          <w:tcPr>
            <w:tcW w:w="1850"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6543</w:t>
            </w:r>
          </w:p>
        </w:tc>
        <w:tc>
          <w:tcPr>
            <w:tcW w:w="1356" w:type="dxa"/>
          </w:tcPr>
          <w:p w:rsidR="008814FF" w:rsidRPr="00C61279" w:rsidRDefault="008814FF" w:rsidP="00A74A66">
            <w:pPr>
              <w:ind w:left="-121"/>
              <w:jc w:val="center"/>
              <w:rPr>
                <w:rFonts w:ascii="Times New Roman" w:hAnsi="Times New Roman"/>
                <w:szCs w:val="22"/>
                <w:lang w:val="id-ID"/>
              </w:rPr>
            </w:pPr>
            <w:r w:rsidRPr="00C61279">
              <w:rPr>
                <w:rFonts w:ascii="Times New Roman" w:hAnsi="Times New Roman"/>
                <w:szCs w:val="22"/>
                <w:lang w:val="id-ID"/>
              </w:rPr>
              <w:t>0.00046</w:t>
            </w:r>
          </w:p>
        </w:tc>
        <w:tc>
          <w:tcPr>
            <w:tcW w:w="1360" w:type="dxa"/>
          </w:tcPr>
          <w:p w:rsidR="008814FF" w:rsidRPr="00C61279" w:rsidRDefault="008814FF" w:rsidP="00A74A66">
            <w:pPr>
              <w:ind w:left="360"/>
              <w:jc w:val="center"/>
              <w:rPr>
                <w:rFonts w:ascii="Times New Roman" w:hAnsi="Times New Roman"/>
                <w:szCs w:val="22"/>
                <w:lang w:val="id-ID"/>
              </w:rPr>
            </w:pPr>
            <w:r w:rsidRPr="00C61279">
              <w:rPr>
                <w:rFonts w:ascii="Times New Roman" w:hAnsi="Times New Roman"/>
                <w:szCs w:val="22"/>
                <w:lang w:val="id-ID"/>
              </w:rPr>
              <w:t>9.10</w:t>
            </w:r>
          </w:p>
        </w:tc>
      </w:tr>
      <w:tr w:rsidR="008814FF" w:rsidRPr="00C61279" w:rsidTr="00A74A66">
        <w:trPr>
          <w:jc w:val="center"/>
        </w:trPr>
        <w:tc>
          <w:tcPr>
            <w:tcW w:w="1344" w:type="dxa"/>
          </w:tcPr>
          <w:p w:rsidR="008814FF" w:rsidRPr="00C61279" w:rsidRDefault="008814FF" w:rsidP="00A74A66">
            <w:pPr>
              <w:ind w:left="-121"/>
              <w:jc w:val="center"/>
              <w:rPr>
                <w:rFonts w:ascii="Times New Roman" w:hAnsi="Times New Roman"/>
                <w:b/>
                <w:szCs w:val="22"/>
                <w:lang w:val="id-ID"/>
              </w:rPr>
            </w:pPr>
            <w:r w:rsidRPr="00C61279">
              <w:rPr>
                <w:rFonts w:ascii="Times New Roman" w:hAnsi="Times New Roman"/>
                <w:b/>
                <w:szCs w:val="22"/>
                <w:lang w:val="id-ID"/>
              </w:rPr>
              <w:t>Average</w:t>
            </w:r>
          </w:p>
        </w:tc>
        <w:tc>
          <w:tcPr>
            <w:tcW w:w="1850" w:type="dxa"/>
          </w:tcPr>
          <w:p w:rsidR="008814FF" w:rsidRPr="00C61279" w:rsidRDefault="008814FF" w:rsidP="00A74A66">
            <w:pPr>
              <w:ind w:left="-121"/>
              <w:jc w:val="center"/>
              <w:rPr>
                <w:rFonts w:ascii="Times New Roman" w:hAnsi="Times New Roman"/>
                <w:b/>
                <w:szCs w:val="22"/>
                <w:lang w:val="id-ID"/>
              </w:rPr>
            </w:pPr>
            <w:r w:rsidRPr="00C61279">
              <w:rPr>
                <w:rFonts w:ascii="Times New Roman" w:hAnsi="Times New Roman"/>
                <w:b/>
                <w:szCs w:val="22"/>
                <w:lang w:val="id-ID"/>
              </w:rPr>
              <w:t>7849</w:t>
            </w:r>
          </w:p>
        </w:tc>
        <w:tc>
          <w:tcPr>
            <w:tcW w:w="2729" w:type="dxa"/>
            <w:gridSpan w:val="3"/>
          </w:tcPr>
          <w:p w:rsidR="008814FF" w:rsidRPr="00C61279" w:rsidRDefault="008814FF" w:rsidP="00A74A66">
            <w:pPr>
              <w:ind w:left="-121"/>
              <w:jc w:val="center"/>
              <w:rPr>
                <w:rFonts w:ascii="Times New Roman" w:hAnsi="Times New Roman"/>
                <w:b/>
                <w:szCs w:val="22"/>
                <w:lang w:val="id-ID"/>
              </w:rPr>
            </w:pPr>
            <w:r w:rsidRPr="00C61279">
              <w:rPr>
                <w:rFonts w:ascii="Times New Roman" w:hAnsi="Times New Roman"/>
                <w:b/>
                <w:szCs w:val="22"/>
                <w:lang w:val="id-ID"/>
              </w:rPr>
              <w:t>10.21</w:t>
            </w:r>
          </w:p>
        </w:tc>
      </w:tr>
    </w:tbl>
    <w:p w:rsidR="008814FF" w:rsidRPr="0010346A" w:rsidRDefault="008814FF" w:rsidP="008814FF">
      <w:pPr>
        <w:ind w:left="360"/>
        <w:jc w:val="center"/>
        <w:rPr>
          <w:rFonts w:ascii="Times New Roman" w:hAnsi="Times New Roman"/>
          <w:szCs w:val="22"/>
          <w:lang w:val="en-US"/>
        </w:rPr>
      </w:pPr>
    </w:p>
    <w:p w:rsidR="001B7435" w:rsidRDefault="004F4857" w:rsidP="006C359B">
      <w:pPr>
        <w:ind w:firstLine="284"/>
        <w:jc w:val="both"/>
        <w:rPr>
          <w:rFonts w:ascii="Times New Roman" w:hAnsi="Times New Roman"/>
          <w:color w:val="000000"/>
          <w:szCs w:val="22"/>
          <w:lang w:val="en-US"/>
        </w:rPr>
      </w:pPr>
      <w:r w:rsidRPr="004F4857">
        <w:rPr>
          <w:rFonts w:ascii="Times New Roman" w:hAnsi="Times New Roman"/>
          <w:color w:val="000000"/>
          <w:szCs w:val="22"/>
          <w:lang w:val="en-US"/>
        </w:rPr>
        <w:t>From Table 1, we get an estimate of regional depth as 7849 m and optimal window width screening of 10, 21 (1 / Hz). Furthermore, for the filtering process, the nearest wave number multiple is used; in this case, 11. Separation of the regional and residual</w:t>
      </w:r>
      <w:r w:rsidR="00013BAD" w:rsidRPr="004F4857">
        <w:rPr>
          <w:rFonts w:ascii="Times New Roman" w:hAnsi="Times New Roman"/>
          <w:color w:val="000000"/>
          <w:szCs w:val="22"/>
          <w:lang w:val="en-US"/>
        </w:rPr>
        <w:t>anomaly</w:t>
      </w:r>
      <w:r w:rsidRPr="004F4857">
        <w:rPr>
          <w:rFonts w:ascii="Times New Roman" w:hAnsi="Times New Roman"/>
          <w:color w:val="000000"/>
          <w:szCs w:val="22"/>
          <w:lang w:val="en-US"/>
        </w:rPr>
        <w:t xml:space="preserve"> uses a moving average with windows 11 x 11 in a moving average, with a grid space of 1500 m. The results of this filtering produce regional anomalies (Figure 1b) and residual anomalies (Figure 2a).</w:t>
      </w:r>
    </w:p>
    <w:p w:rsidR="00E95038" w:rsidRDefault="00E95038" w:rsidP="006C359B">
      <w:pPr>
        <w:ind w:firstLine="284"/>
        <w:jc w:val="both"/>
        <w:rPr>
          <w:rFonts w:ascii="Times New Roman" w:hAnsi="Times New Roman"/>
          <w:color w:val="000000"/>
          <w:szCs w:val="22"/>
          <w:lang w:val="en-US"/>
        </w:rPr>
      </w:pPr>
    </w:p>
    <w:p w:rsidR="00E95038" w:rsidRDefault="00E95038" w:rsidP="006C359B">
      <w:pPr>
        <w:ind w:firstLine="284"/>
        <w:jc w:val="both"/>
        <w:rPr>
          <w:rFonts w:ascii="Times New Roman" w:hAnsi="Times New Roman"/>
          <w:color w:val="000000"/>
          <w:szCs w:val="22"/>
          <w:lang w:val="en-US"/>
        </w:rPr>
      </w:pPr>
    </w:p>
    <w:p w:rsidR="00245CC0" w:rsidRPr="00C61279" w:rsidRDefault="00245CC0" w:rsidP="006C359B">
      <w:pPr>
        <w:pStyle w:val="Abstract"/>
        <w:numPr>
          <w:ilvl w:val="0"/>
          <w:numId w:val="19"/>
        </w:numPr>
        <w:spacing w:before="240" w:after="0"/>
        <w:ind w:left="284" w:right="-1" w:hanging="284"/>
        <w:rPr>
          <w:b/>
          <w:sz w:val="22"/>
          <w:lang w:val="id-ID"/>
        </w:rPr>
      </w:pPr>
      <w:r w:rsidRPr="00C61279">
        <w:rPr>
          <w:b/>
          <w:sz w:val="22"/>
          <w:lang w:val="id-ID"/>
        </w:rPr>
        <w:lastRenderedPageBreak/>
        <w:t>Analysis and Interpretation</w:t>
      </w:r>
    </w:p>
    <w:p w:rsidR="00F047E7" w:rsidRPr="00F047E7" w:rsidRDefault="00F047E7" w:rsidP="007669A1">
      <w:pPr>
        <w:pStyle w:val="Abstract"/>
        <w:tabs>
          <w:tab w:val="left" w:pos="284"/>
        </w:tabs>
        <w:spacing w:after="0"/>
        <w:ind w:left="0" w:right="-1"/>
        <w:rPr>
          <w:rFonts w:ascii="Times New Roman" w:hAnsi="Times New Roman"/>
          <w:sz w:val="22"/>
          <w:szCs w:val="22"/>
          <w:lang w:val="id-ID"/>
        </w:rPr>
      </w:pPr>
      <w:r w:rsidRPr="00F047E7">
        <w:rPr>
          <w:rFonts w:ascii="Times New Roman" w:hAnsi="Times New Roman"/>
          <w:sz w:val="22"/>
          <w:szCs w:val="22"/>
          <w:lang w:val="id-ID"/>
        </w:rPr>
        <w:t xml:space="preserve">Figure 1b shows the Bouguer regional anomaly (20 to 100 mgal), which explains the regional anomalyis influenced by the response of bedrock or deeper layers. And the results of </w:t>
      </w:r>
      <w:r w:rsidR="00522FBB">
        <w:rPr>
          <w:rFonts w:ascii="Times New Roman" w:hAnsi="Times New Roman"/>
          <w:sz w:val="22"/>
          <w:szCs w:val="22"/>
          <w:lang w:val="en-US"/>
        </w:rPr>
        <w:t xml:space="preserve">the </w:t>
      </w:r>
      <w:r w:rsidRPr="00F047E7">
        <w:rPr>
          <w:rFonts w:ascii="Times New Roman" w:hAnsi="Times New Roman"/>
          <w:sz w:val="22"/>
          <w:szCs w:val="22"/>
          <w:lang w:val="id-ID"/>
        </w:rPr>
        <w:t>spectrum analysis (Table 1) show that the bedrock in Bandar Lampung and its surroundings is at a depth of 7800 m.</w:t>
      </w:r>
    </w:p>
    <w:p w:rsidR="00F047E7" w:rsidRPr="00F047E7" w:rsidRDefault="00F047E7" w:rsidP="007669A1">
      <w:pPr>
        <w:pStyle w:val="Abstract"/>
        <w:tabs>
          <w:tab w:val="left" w:pos="284"/>
        </w:tabs>
        <w:spacing w:after="0"/>
        <w:ind w:left="0" w:right="-1"/>
        <w:rPr>
          <w:rFonts w:ascii="Times New Roman" w:hAnsi="Times New Roman"/>
          <w:sz w:val="22"/>
          <w:szCs w:val="22"/>
          <w:lang w:val="id-ID"/>
        </w:rPr>
      </w:pPr>
      <w:r w:rsidRPr="00F047E7">
        <w:rPr>
          <w:rFonts w:ascii="Times New Roman" w:hAnsi="Times New Roman"/>
          <w:sz w:val="22"/>
          <w:szCs w:val="22"/>
          <w:lang w:val="id-ID"/>
        </w:rPr>
        <w:t>Whereas</w:t>
      </w:r>
      <w:r w:rsidR="00522FBB">
        <w:rPr>
          <w:rFonts w:ascii="Times New Roman" w:hAnsi="Times New Roman"/>
          <w:sz w:val="22"/>
          <w:szCs w:val="22"/>
          <w:lang w:val="en-US"/>
        </w:rPr>
        <w:t>,</w:t>
      </w:r>
      <w:r w:rsidRPr="00F047E7">
        <w:rPr>
          <w:rFonts w:ascii="Times New Roman" w:hAnsi="Times New Roman"/>
          <w:sz w:val="22"/>
          <w:szCs w:val="22"/>
          <w:lang w:val="id-ID"/>
        </w:rPr>
        <w:t xml:space="preserve"> Figure 2 shows the residual anomaly of Bouguer (-20 to -5 mgal). The Bouguer residual anomaly map shows two parts of anomaly that are of low value, which is thought to be an anomaly response from shallow rocks. This shallower rock layer is thought to be a groundwater basin, where the boundaries of this groundwater basin can be delineated firmly from the SVD Map (Figure 2b). </w:t>
      </w:r>
    </w:p>
    <w:p w:rsidR="00F047E7" w:rsidRPr="00F3399F" w:rsidRDefault="00F047E7" w:rsidP="006C359B">
      <w:pPr>
        <w:pStyle w:val="Abstract"/>
        <w:tabs>
          <w:tab w:val="left" w:pos="284"/>
        </w:tabs>
        <w:spacing w:after="100" w:afterAutospacing="1"/>
        <w:ind w:left="0" w:right="-1" w:firstLine="284"/>
        <w:rPr>
          <w:rFonts w:ascii="Times New Roman" w:hAnsi="Times New Roman"/>
          <w:sz w:val="22"/>
          <w:szCs w:val="22"/>
          <w:lang w:val="en-US"/>
        </w:rPr>
      </w:pPr>
      <w:r w:rsidRPr="00F047E7">
        <w:rPr>
          <w:rFonts w:ascii="Times New Roman" w:hAnsi="Times New Roman"/>
          <w:sz w:val="22"/>
          <w:szCs w:val="22"/>
          <w:lang w:val="id-ID"/>
        </w:rPr>
        <w:t xml:space="preserve">Figure 2b is the result of filtering with SVD on Bouguer residual anomaly, so it produces SVD anomaly map. The sub-basins of the groundwater basin can be well identified by SVD contours equal to zero (Figures 2a and 2b). The zero contours on the SVD Map shows the boundaries of a shallow/local geological feature </w:t>
      </w:r>
      <w:r w:rsidR="00E57FEE">
        <w:rPr>
          <w:rFonts w:ascii="Times New Roman" w:hAnsi="Times New Roman"/>
          <w:sz w:val="22"/>
          <w:szCs w:val="22"/>
          <w:lang w:val="en-ID"/>
        </w:rPr>
        <w:t>[1</w:t>
      </w:r>
      <w:r w:rsidRPr="00F047E7">
        <w:rPr>
          <w:rFonts w:ascii="Times New Roman" w:hAnsi="Times New Roman"/>
          <w:sz w:val="22"/>
          <w:szCs w:val="22"/>
          <w:lang w:val="id-ID"/>
        </w:rPr>
        <w:t>4] marked by a dashed red line.</w:t>
      </w:r>
      <w:r w:rsidR="00F3399F" w:rsidRPr="00F3399F">
        <w:rPr>
          <w:sz w:val="22"/>
          <w:lang w:val="id-ID"/>
        </w:rPr>
        <w:t xml:space="preserve"> </w:t>
      </w:r>
      <w:r w:rsidR="00F3399F" w:rsidRPr="00CC2786">
        <w:rPr>
          <w:sz w:val="22"/>
          <w:lang w:val="id-ID"/>
        </w:rPr>
        <w:t xml:space="preserve">Figure 3a shows the correlation of </w:t>
      </w:r>
      <w:r w:rsidR="00F3399F">
        <w:rPr>
          <w:sz w:val="22"/>
          <w:lang w:val="en-US"/>
        </w:rPr>
        <w:t>-</w:t>
      </w:r>
    </w:p>
    <w:tbl>
      <w:tblPr>
        <w:tblStyle w:val="TableGrid"/>
        <w:tblW w:w="0" w:type="auto"/>
        <w:tblLook w:val="04A0" w:firstRow="1" w:lastRow="0" w:firstColumn="1" w:lastColumn="0" w:noHBand="0" w:noVBand="1"/>
      </w:tblPr>
      <w:tblGrid>
        <w:gridCol w:w="4530"/>
        <w:gridCol w:w="4531"/>
      </w:tblGrid>
      <w:tr w:rsidR="00DE3912" w:rsidRPr="00C61279" w:rsidTr="00A03E81">
        <w:tc>
          <w:tcPr>
            <w:tcW w:w="4530" w:type="dxa"/>
          </w:tcPr>
          <w:p w:rsidR="00DE3912" w:rsidRPr="00C61279" w:rsidRDefault="00DE3912" w:rsidP="00E95038">
            <w:pPr>
              <w:pStyle w:val="Abstract"/>
              <w:tabs>
                <w:tab w:val="left" w:pos="284"/>
              </w:tabs>
              <w:spacing w:after="0"/>
              <w:ind w:left="0" w:right="-1"/>
              <w:rPr>
                <w:sz w:val="22"/>
                <w:lang w:val="id-ID"/>
              </w:rPr>
            </w:pPr>
            <w:r w:rsidRPr="00C61279">
              <w:rPr>
                <w:noProof/>
                <w:sz w:val="22"/>
                <w:lang w:val="en-US"/>
              </w:rPr>
              <w:drawing>
                <wp:inline distT="0" distB="0" distL="0" distR="0">
                  <wp:extent cx="2537827" cy="2917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dual 1 + Batas cekun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9203" cy="2953549"/>
                          </a:xfrm>
                          <a:prstGeom prst="rect">
                            <a:avLst/>
                          </a:prstGeom>
                        </pic:spPr>
                      </pic:pic>
                    </a:graphicData>
                  </a:graphic>
                </wp:inline>
              </w:drawing>
            </w:r>
          </w:p>
          <w:p w:rsidR="00DE3912" w:rsidRPr="00C61279" w:rsidRDefault="00DE3912" w:rsidP="00A03E81">
            <w:pPr>
              <w:pStyle w:val="Abstract"/>
              <w:tabs>
                <w:tab w:val="left" w:pos="284"/>
              </w:tabs>
              <w:spacing w:after="0"/>
              <w:ind w:left="0" w:right="-1"/>
              <w:jc w:val="center"/>
              <w:rPr>
                <w:sz w:val="22"/>
                <w:lang w:val="id-ID"/>
              </w:rPr>
            </w:pPr>
            <w:r w:rsidRPr="00C61279">
              <w:rPr>
                <w:sz w:val="22"/>
                <w:lang w:val="id-ID"/>
              </w:rPr>
              <w:t>2 (a)</w:t>
            </w:r>
          </w:p>
        </w:tc>
        <w:tc>
          <w:tcPr>
            <w:tcW w:w="4531" w:type="dxa"/>
          </w:tcPr>
          <w:p w:rsidR="00DE3912" w:rsidRPr="00C61279" w:rsidRDefault="00DE3912" w:rsidP="00E95038">
            <w:pPr>
              <w:pStyle w:val="Abstract"/>
              <w:tabs>
                <w:tab w:val="left" w:pos="284"/>
              </w:tabs>
              <w:spacing w:after="0"/>
              <w:ind w:left="0" w:right="-1"/>
              <w:rPr>
                <w:sz w:val="22"/>
                <w:lang w:val="id-ID"/>
              </w:rPr>
            </w:pPr>
            <w:r w:rsidRPr="00C61279">
              <w:rPr>
                <w:noProof/>
                <w:sz w:val="22"/>
                <w:lang w:val="en-US"/>
              </w:rPr>
              <w:drawing>
                <wp:inline distT="0" distB="0" distL="0" distR="0">
                  <wp:extent cx="2586670" cy="297220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V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1213" cy="3000406"/>
                          </a:xfrm>
                          <a:prstGeom prst="rect">
                            <a:avLst/>
                          </a:prstGeom>
                        </pic:spPr>
                      </pic:pic>
                    </a:graphicData>
                  </a:graphic>
                </wp:inline>
              </w:drawing>
            </w:r>
          </w:p>
          <w:p w:rsidR="00DE3912" w:rsidRPr="00C61279" w:rsidRDefault="00DE3912" w:rsidP="00A03E81">
            <w:pPr>
              <w:pStyle w:val="Abstract"/>
              <w:tabs>
                <w:tab w:val="left" w:pos="284"/>
              </w:tabs>
              <w:spacing w:after="0"/>
              <w:ind w:left="0" w:right="-1"/>
              <w:jc w:val="center"/>
              <w:rPr>
                <w:sz w:val="22"/>
                <w:lang w:val="id-ID"/>
              </w:rPr>
            </w:pPr>
            <w:r w:rsidRPr="00C61279">
              <w:rPr>
                <w:sz w:val="22"/>
                <w:lang w:val="id-ID"/>
              </w:rPr>
              <w:t>2 (b)</w:t>
            </w:r>
          </w:p>
        </w:tc>
      </w:tr>
    </w:tbl>
    <w:p w:rsidR="00DE3912" w:rsidRDefault="00FF6C4A" w:rsidP="00E95038">
      <w:pPr>
        <w:pStyle w:val="Abstract"/>
        <w:spacing w:before="240" w:after="0"/>
        <w:ind w:left="0" w:right="-1"/>
        <w:jc w:val="center"/>
        <w:rPr>
          <w:sz w:val="22"/>
          <w:lang w:val="en-ID"/>
        </w:rPr>
      </w:pPr>
      <w:r w:rsidRPr="000B5E42">
        <w:rPr>
          <w:b/>
          <w:bCs/>
          <w:sz w:val="22"/>
          <w:lang w:val="en-ID"/>
        </w:rPr>
        <w:t>Figure 2.</w:t>
      </w:r>
      <w:r>
        <w:rPr>
          <w:sz w:val="22"/>
          <w:lang w:val="en-ID"/>
        </w:rPr>
        <w:t xml:space="preserve"> Gravity Anomaly, (a) Residual</w:t>
      </w:r>
      <w:r w:rsidR="008814FF">
        <w:rPr>
          <w:sz w:val="22"/>
          <w:lang w:val="en-ID"/>
        </w:rPr>
        <w:t xml:space="preserve"> </w:t>
      </w:r>
      <w:r w:rsidR="00A03E81">
        <w:rPr>
          <w:sz w:val="22"/>
          <w:lang w:val="en-ID"/>
        </w:rPr>
        <w:t>Bouguer</w:t>
      </w:r>
      <w:r>
        <w:rPr>
          <w:sz w:val="22"/>
          <w:lang w:val="en-ID"/>
        </w:rPr>
        <w:t xml:space="preserve"> and (b) SVD residual anomaly</w:t>
      </w:r>
    </w:p>
    <w:p w:rsidR="00E95038" w:rsidRDefault="00E95038" w:rsidP="00F3399F">
      <w:pPr>
        <w:pStyle w:val="Abstract"/>
        <w:spacing w:after="0"/>
        <w:ind w:left="0" w:right="-1"/>
        <w:jc w:val="center"/>
        <w:rPr>
          <w:sz w:val="22"/>
          <w:lang w:val="en-ID"/>
        </w:rPr>
      </w:pPr>
    </w:p>
    <w:p w:rsidR="004B2152" w:rsidRPr="00C61279" w:rsidRDefault="00F3399F" w:rsidP="00F7506D">
      <w:pPr>
        <w:pStyle w:val="Abstract"/>
        <w:tabs>
          <w:tab w:val="left" w:pos="284"/>
        </w:tabs>
        <w:spacing w:after="0"/>
        <w:ind w:left="0" w:right="-1"/>
        <w:rPr>
          <w:sz w:val="22"/>
          <w:lang w:val="id-ID"/>
        </w:rPr>
      </w:pPr>
      <w:r w:rsidRPr="00CC2786">
        <w:rPr>
          <w:sz w:val="22"/>
          <w:lang w:val="id-ID"/>
        </w:rPr>
        <w:t xml:space="preserve">aquifers </w:t>
      </w:r>
      <w:r w:rsidR="004B2152" w:rsidRPr="00CC2786">
        <w:rPr>
          <w:sz w:val="22"/>
          <w:lang w:val="id-ID"/>
        </w:rPr>
        <w:t>in the groundwater sub-basin of 25 data from the bore well survey results and direct visits in the field through interviews. Table 2 presents data on the location of wells, aquifer depth, elevation, and criteria about productivity and endurance of wells (aquifers) to seasons change. Wells criteria are divided into 3, which are good aquifers, medium aquifers, and poor aquifers.</w:t>
      </w:r>
    </w:p>
    <w:p w:rsidR="00F7506D" w:rsidRDefault="00F7506D" w:rsidP="006C359B">
      <w:pPr>
        <w:pStyle w:val="Abstract"/>
        <w:tabs>
          <w:tab w:val="left" w:pos="284"/>
        </w:tabs>
        <w:ind w:left="0" w:right="-1" w:firstLine="284"/>
        <w:rPr>
          <w:sz w:val="22"/>
          <w:lang w:val="id-ID"/>
        </w:rPr>
      </w:pPr>
      <w:r w:rsidRPr="00152720">
        <w:rPr>
          <w:sz w:val="22"/>
          <w:lang w:val="id-ID"/>
        </w:rPr>
        <w:t xml:space="preserve">A good aquifer is an aquifer that is never dry throughout the year, a medium aquifer is an aquifer that is dry if a drought is more than three months, and the poor aquifer is aquifer that is dry if the drought is less than three months. Each of these criteria is plotted on the </w:t>
      </w:r>
      <w:r>
        <w:rPr>
          <w:sz w:val="22"/>
          <w:lang w:val="en-US"/>
        </w:rPr>
        <w:t xml:space="preserve">residual </w:t>
      </w:r>
      <w:r w:rsidRPr="00152720">
        <w:rPr>
          <w:sz w:val="22"/>
          <w:lang w:val="id-ID"/>
        </w:rPr>
        <w:t>Bouguer</w:t>
      </w:r>
      <w:r>
        <w:rPr>
          <w:sz w:val="22"/>
          <w:lang w:val="en-US"/>
        </w:rPr>
        <w:t xml:space="preserve"> anomaly</w:t>
      </w:r>
      <w:r w:rsidRPr="00152720">
        <w:rPr>
          <w:sz w:val="22"/>
          <w:lang w:val="id-ID"/>
        </w:rPr>
        <w:t xml:space="preserve"> map (Figure 3a) and the Hydrogeology Map (Figure 3b). In Figure 3a, most good aquifers correspond to negative </w:t>
      </w:r>
      <w:r>
        <w:rPr>
          <w:sz w:val="22"/>
          <w:lang w:val="en-US"/>
        </w:rPr>
        <w:t xml:space="preserve">residual </w:t>
      </w:r>
      <w:r w:rsidRPr="00152720">
        <w:rPr>
          <w:sz w:val="22"/>
          <w:lang w:val="id-ID"/>
        </w:rPr>
        <w:t>Bouguer</w:t>
      </w:r>
      <w:r>
        <w:rPr>
          <w:sz w:val="22"/>
          <w:lang w:val="en-US"/>
        </w:rPr>
        <w:t xml:space="preserve"> anomaly</w:t>
      </w:r>
      <w:r w:rsidRPr="00152720">
        <w:rPr>
          <w:sz w:val="22"/>
          <w:lang w:val="id-ID"/>
        </w:rPr>
        <w:t xml:space="preserve"> (-</w:t>
      </w:r>
      <w:r w:rsidR="000B5E42">
        <w:rPr>
          <w:sz w:val="22"/>
          <w:lang w:val="en-ID"/>
        </w:rPr>
        <w:t>22</w:t>
      </w:r>
      <w:r w:rsidRPr="00152720">
        <w:rPr>
          <w:sz w:val="22"/>
          <w:lang w:val="id-ID"/>
        </w:rPr>
        <w:t xml:space="preserve"> to -</w:t>
      </w:r>
      <w:r w:rsidR="000B5E42">
        <w:rPr>
          <w:sz w:val="22"/>
          <w:lang w:val="en-ID"/>
        </w:rPr>
        <w:t>5</w:t>
      </w:r>
      <w:r w:rsidRPr="00152720">
        <w:rPr>
          <w:sz w:val="22"/>
          <w:lang w:val="id-ID"/>
        </w:rPr>
        <w:t xml:space="preserve"> mgal). Hence, it reinforces the assumption that the negative </w:t>
      </w:r>
      <w:r>
        <w:rPr>
          <w:sz w:val="22"/>
          <w:lang w:val="en-US"/>
        </w:rPr>
        <w:t xml:space="preserve">residual </w:t>
      </w:r>
      <w:r w:rsidRPr="00152720">
        <w:rPr>
          <w:sz w:val="22"/>
          <w:lang w:val="id-ID"/>
        </w:rPr>
        <w:t>Bouguer</w:t>
      </w:r>
      <w:r>
        <w:rPr>
          <w:sz w:val="22"/>
          <w:lang w:val="en-US"/>
        </w:rPr>
        <w:t xml:space="preserve"> anomaly</w:t>
      </w:r>
      <w:r w:rsidRPr="00152720">
        <w:rPr>
          <w:sz w:val="22"/>
          <w:lang w:val="id-ID"/>
        </w:rPr>
        <w:t xml:space="preserve"> is a groundwater basin.</w:t>
      </w:r>
    </w:p>
    <w:p w:rsidR="004B2152" w:rsidRPr="00FF6C4A" w:rsidRDefault="004B2152" w:rsidP="004B2152">
      <w:pPr>
        <w:pStyle w:val="Abstract"/>
        <w:tabs>
          <w:tab w:val="left" w:pos="284"/>
        </w:tabs>
        <w:ind w:left="0" w:right="-1"/>
        <w:rPr>
          <w:sz w:val="22"/>
          <w:lang w:val="en-ID"/>
        </w:rPr>
      </w:pPr>
    </w:p>
    <w:tbl>
      <w:tblPr>
        <w:tblStyle w:val="TableGrid"/>
        <w:tblW w:w="0" w:type="auto"/>
        <w:tblInd w:w="108" w:type="dxa"/>
        <w:tblLook w:val="04A0" w:firstRow="1" w:lastRow="0" w:firstColumn="1" w:lastColumn="0" w:noHBand="0" w:noVBand="1"/>
      </w:tblPr>
      <w:tblGrid>
        <w:gridCol w:w="4470"/>
        <w:gridCol w:w="4531"/>
      </w:tblGrid>
      <w:tr w:rsidR="00DE3912" w:rsidRPr="00C61279" w:rsidTr="000F1D49">
        <w:trPr>
          <w:trHeight w:val="4962"/>
        </w:trPr>
        <w:tc>
          <w:tcPr>
            <w:tcW w:w="4422" w:type="dxa"/>
          </w:tcPr>
          <w:p w:rsidR="00DE3912" w:rsidRPr="00C61279" w:rsidRDefault="00DE3912" w:rsidP="00A03E81">
            <w:pPr>
              <w:pStyle w:val="Abstract"/>
              <w:tabs>
                <w:tab w:val="left" w:pos="284"/>
              </w:tabs>
              <w:spacing w:after="0"/>
              <w:ind w:left="0" w:right="-1"/>
              <w:rPr>
                <w:sz w:val="22"/>
                <w:lang w:val="id-ID"/>
              </w:rPr>
            </w:pPr>
            <w:r w:rsidRPr="00C61279">
              <w:rPr>
                <w:noProof/>
                <w:sz w:val="22"/>
                <w:lang w:val="en-US"/>
              </w:rPr>
              <w:lastRenderedPageBreak/>
              <w:drawing>
                <wp:inline distT="0" distB="0" distL="0" distR="0">
                  <wp:extent cx="2701925" cy="3019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mur level1.jpg"/>
                          <pic:cNvPicPr/>
                        </pic:nvPicPr>
                        <pic:blipFill rotWithShape="1">
                          <a:blip r:embed="rId12" cstate="print">
                            <a:extLst>
                              <a:ext uri="{28A0092B-C50C-407E-A947-70E740481C1C}">
                                <a14:useLocalDpi xmlns:a14="http://schemas.microsoft.com/office/drawing/2010/main" val="0"/>
                              </a:ext>
                            </a:extLst>
                          </a:blip>
                          <a:srcRect t="1798" b="3189"/>
                          <a:stretch/>
                        </pic:blipFill>
                        <pic:spPr bwMode="auto">
                          <a:xfrm>
                            <a:off x="0" y="0"/>
                            <a:ext cx="2797209" cy="3125906"/>
                          </a:xfrm>
                          <a:prstGeom prst="rect">
                            <a:avLst/>
                          </a:prstGeom>
                          <a:ln>
                            <a:noFill/>
                          </a:ln>
                          <a:extLst>
                            <a:ext uri="{53640926-AAD7-44D8-BBD7-CCE9431645EC}">
                              <a14:shadowObscured xmlns:a14="http://schemas.microsoft.com/office/drawing/2010/main"/>
                            </a:ext>
                          </a:extLst>
                        </pic:spPr>
                      </pic:pic>
                    </a:graphicData>
                  </a:graphic>
                </wp:inline>
              </w:drawing>
            </w:r>
          </w:p>
          <w:p w:rsidR="00DE3912" w:rsidRPr="00C61279" w:rsidRDefault="00DE3912" w:rsidP="00A03E81">
            <w:pPr>
              <w:pStyle w:val="Abstract"/>
              <w:tabs>
                <w:tab w:val="left" w:pos="284"/>
              </w:tabs>
              <w:spacing w:after="0"/>
              <w:ind w:left="0" w:right="-1"/>
              <w:jc w:val="center"/>
              <w:rPr>
                <w:sz w:val="22"/>
                <w:lang w:val="id-ID"/>
              </w:rPr>
            </w:pPr>
            <w:r w:rsidRPr="00C61279">
              <w:rPr>
                <w:sz w:val="22"/>
                <w:lang w:val="id-ID"/>
              </w:rPr>
              <w:t>3 (a)</w:t>
            </w:r>
          </w:p>
        </w:tc>
        <w:tc>
          <w:tcPr>
            <w:tcW w:w="4531" w:type="dxa"/>
          </w:tcPr>
          <w:p w:rsidR="00DE3912" w:rsidRPr="00C61279" w:rsidRDefault="00DE3912" w:rsidP="00A03E81">
            <w:pPr>
              <w:pStyle w:val="Abstract"/>
              <w:tabs>
                <w:tab w:val="left" w:pos="284"/>
              </w:tabs>
              <w:spacing w:after="0"/>
              <w:ind w:left="0" w:right="-1"/>
              <w:rPr>
                <w:sz w:val="22"/>
                <w:lang w:val="id-ID"/>
              </w:rPr>
            </w:pPr>
            <w:r w:rsidRPr="00C61279">
              <w:rPr>
                <w:noProof/>
                <w:sz w:val="22"/>
                <w:lang w:val="en-US"/>
              </w:rPr>
              <w:drawing>
                <wp:inline distT="0" distB="0" distL="0" distR="0">
                  <wp:extent cx="2644775" cy="2981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idrogeologi 1.jpg"/>
                          <pic:cNvPicPr/>
                        </pic:nvPicPr>
                        <pic:blipFill rotWithShape="1">
                          <a:blip r:embed="rId13" cstate="print">
                            <a:extLst>
                              <a:ext uri="{28A0092B-C50C-407E-A947-70E740481C1C}">
                                <a14:useLocalDpi xmlns:a14="http://schemas.microsoft.com/office/drawing/2010/main" val="0"/>
                              </a:ext>
                            </a:extLst>
                          </a:blip>
                          <a:srcRect t="1506" b="4314"/>
                          <a:stretch/>
                        </pic:blipFill>
                        <pic:spPr bwMode="auto">
                          <a:xfrm>
                            <a:off x="0" y="0"/>
                            <a:ext cx="2722525" cy="3068969"/>
                          </a:xfrm>
                          <a:prstGeom prst="rect">
                            <a:avLst/>
                          </a:prstGeom>
                          <a:ln>
                            <a:noFill/>
                          </a:ln>
                          <a:extLst>
                            <a:ext uri="{53640926-AAD7-44D8-BBD7-CCE9431645EC}">
                              <a14:shadowObscured xmlns:a14="http://schemas.microsoft.com/office/drawing/2010/main"/>
                            </a:ext>
                          </a:extLst>
                        </pic:spPr>
                      </pic:pic>
                    </a:graphicData>
                  </a:graphic>
                </wp:inline>
              </w:drawing>
            </w:r>
          </w:p>
          <w:p w:rsidR="00DE3912" w:rsidRPr="00C61279" w:rsidRDefault="00DE3912" w:rsidP="00A03E81">
            <w:pPr>
              <w:pStyle w:val="Abstract"/>
              <w:tabs>
                <w:tab w:val="left" w:pos="284"/>
              </w:tabs>
              <w:spacing w:after="0"/>
              <w:ind w:left="0" w:right="-1"/>
              <w:jc w:val="center"/>
              <w:rPr>
                <w:sz w:val="22"/>
                <w:lang w:val="id-ID"/>
              </w:rPr>
            </w:pPr>
            <w:r w:rsidRPr="00C61279">
              <w:rPr>
                <w:sz w:val="22"/>
                <w:lang w:val="id-ID"/>
              </w:rPr>
              <w:t>3 (b)</w:t>
            </w:r>
          </w:p>
        </w:tc>
      </w:tr>
    </w:tbl>
    <w:p w:rsidR="00DE3912" w:rsidRDefault="003331FD" w:rsidP="000F1D49">
      <w:pPr>
        <w:pStyle w:val="Abstract"/>
        <w:tabs>
          <w:tab w:val="left" w:pos="284"/>
        </w:tabs>
        <w:spacing w:before="240" w:after="0"/>
        <w:ind w:left="0" w:right="-1"/>
        <w:rPr>
          <w:rFonts w:ascii="Times New Roman" w:hAnsi="Times New Roman"/>
          <w:sz w:val="22"/>
          <w:lang w:val="en-ID"/>
        </w:rPr>
      </w:pPr>
      <w:r w:rsidRPr="00EC24EC">
        <w:rPr>
          <w:rFonts w:ascii="Times New Roman" w:hAnsi="Times New Roman"/>
          <w:b/>
          <w:bCs/>
          <w:sz w:val="22"/>
          <w:lang w:val="en-ID"/>
        </w:rPr>
        <w:t>Figure 3</w:t>
      </w:r>
      <w:r w:rsidRPr="00EC24EC">
        <w:rPr>
          <w:rFonts w:ascii="Times New Roman" w:hAnsi="Times New Roman"/>
          <w:sz w:val="22"/>
          <w:lang w:val="en-ID"/>
        </w:rPr>
        <w:t>. (a) Residual Bouguer Anomaly with production well, (b) Correlation Residual Bouguer Anomaly and production well in hydrogeological map</w:t>
      </w:r>
      <w:r w:rsidR="000F1D49">
        <w:rPr>
          <w:rFonts w:ascii="Times New Roman" w:hAnsi="Times New Roman"/>
          <w:sz w:val="22"/>
          <w:lang w:val="en-ID"/>
        </w:rPr>
        <w:t>.</w:t>
      </w:r>
    </w:p>
    <w:p w:rsidR="000F1D49" w:rsidRPr="00EC24EC" w:rsidRDefault="000F1D49" w:rsidP="000F1D49">
      <w:pPr>
        <w:pStyle w:val="Abstract"/>
        <w:tabs>
          <w:tab w:val="left" w:pos="284"/>
        </w:tabs>
        <w:spacing w:after="0"/>
        <w:ind w:left="0" w:right="-1"/>
        <w:rPr>
          <w:rFonts w:ascii="Times New Roman" w:hAnsi="Times New Roman"/>
          <w:sz w:val="22"/>
          <w:lang w:val="en-ID"/>
        </w:rPr>
      </w:pPr>
    </w:p>
    <w:p w:rsidR="009F527B" w:rsidRPr="00EC24EC" w:rsidRDefault="009F527B" w:rsidP="004B2152">
      <w:pPr>
        <w:pStyle w:val="Abstract"/>
        <w:tabs>
          <w:tab w:val="left" w:pos="284"/>
        </w:tabs>
        <w:spacing w:after="120"/>
        <w:ind w:left="0" w:right="-1"/>
        <w:jc w:val="center"/>
        <w:rPr>
          <w:rFonts w:ascii="Times New Roman" w:hAnsi="Times New Roman"/>
          <w:sz w:val="22"/>
          <w:lang w:val="id-ID"/>
        </w:rPr>
      </w:pPr>
      <w:r w:rsidRPr="00EC24EC">
        <w:rPr>
          <w:rFonts w:ascii="Times New Roman" w:hAnsi="Times New Roman"/>
          <w:b/>
          <w:bCs/>
          <w:sz w:val="22"/>
          <w:lang w:val="id-ID"/>
        </w:rPr>
        <w:t>Tabl</w:t>
      </w:r>
      <w:r w:rsidR="003331FD" w:rsidRPr="00EC24EC">
        <w:rPr>
          <w:rFonts w:ascii="Times New Roman" w:hAnsi="Times New Roman"/>
          <w:b/>
          <w:bCs/>
          <w:sz w:val="22"/>
          <w:lang w:val="en-ID"/>
        </w:rPr>
        <w:t>e</w:t>
      </w:r>
      <w:r w:rsidRPr="00EC24EC">
        <w:rPr>
          <w:rFonts w:ascii="Times New Roman" w:hAnsi="Times New Roman"/>
          <w:b/>
          <w:bCs/>
          <w:sz w:val="22"/>
          <w:lang w:val="id-ID"/>
        </w:rPr>
        <w:t xml:space="preserve"> 2.</w:t>
      </w:r>
      <w:r w:rsidR="006C359B" w:rsidRPr="00EC24EC">
        <w:rPr>
          <w:rFonts w:ascii="Times New Roman" w:hAnsi="Times New Roman"/>
          <w:b/>
          <w:bCs/>
          <w:sz w:val="22"/>
          <w:lang w:val="en-US"/>
        </w:rPr>
        <w:t xml:space="preserve"> </w:t>
      </w:r>
      <w:r w:rsidR="00CD45E0">
        <w:rPr>
          <w:rFonts w:ascii="Times New Roman" w:hAnsi="Times New Roman"/>
          <w:bCs/>
          <w:sz w:val="22"/>
          <w:lang w:val="en-US"/>
        </w:rPr>
        <w:t xml:space="preserve">Bore </w:t>
      </w:r>
      <w:r w:rsidR="00C90F6D">
        <w:rPr>
          <w:rFonts w:ascii="Times New Roman" w:hAnsi="Times New Roman"/>
          <w:bCs/>
          <w:sz w:val="22"/>
          <w:lang w:val="en-US"/>
        </w:rPr>
        <w:t>well data classification from the field measureme</w:t>
      </w:r>
      <w:r w:rsidR="001B197A">
        <w:rPr>
          <w:rFonts w:ascii="Times New Roman" w:hAnsi="Times New Roman"/>
          <w:bCs/>
          <w:sz w:val="22"/>
          <w:lang w:val="en-US"/>
        </w:rPr>
        <w:t>nt</w:t>
      </w:r>
      <w:r w:rsidR="00C90F6D">
        <w:rPr>
          <w:rFonts w:ascii="Times New Roman" w:hAnsi="Times New Roman"/>
          <w:bCs/>
          <w:sz w:val="22"/>
          <w:lang w:val="en-US"/>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69"/>
        <w:gridCol w:w="1040"/>
        <w:gridCol w:w="986"/>
        <w:gridCol w:w="1604"/>
        <w:gridCol w:w="1286"/>
        <w:gridCol w:w="1010"/>
      </w:tblGrid>
      <w:tr w:rsidR="009F527B" w:rsidRPr="00EC24EC" w:rsidTr="00F85834">
        <w:trPr>
          <w:trHeight w:val="269"/>
          <w:jc w:val="center"/>
        </w:trPr>
        <w:tc>
          <w:tcPr>
            <w:tcW w:w="769" w:type="dxa"/>
            <w:vAlign w:val="center"/>
          </w:tcPr>
          <w:p w:rsidR="009F527B" w:rsidRPr="00EC24EC" w:rsidRDefault="009F527B" w:rsidP="009F527B">
            <w:pPr>
              <w:pStyle w:val="ListParagraph"/>
              <w:ind w:left="0"/>
              <w:jc w:val="center"/>
              <w:rPr>
                <w:noProof/>
                <w:sz w:val="22"/>
                <w:szCs w:val="22"/>
                <w:lang w:val="id-ID"/>
              </w:rPr>
            </w:pPr>
            <w:r w:rsidRPr="00EC24EC">
              <w:rPr>
                <w:b/>
                <w:bCs/>
                <w:color w:val="000000"/>
                <w:sz w:val="22"/>
                <w:szCs w:val="22"/>
                <w:lang w:val="id-ID"/>
              </w:rPr>
              <w:t>No</w:t>
            </w:r>
          </w:p>
        </w:tc>
        <w:tc>
          <w:tcPr>
            <w:tcW w:w="1040" w:type="dxa"/>
            <w:vAlign w:val="center"/>
          </w:tcPr>
          <w:p w:rsidR="009F527B" w:rsidRPr="00EC24EC" w:rsidRDefault="009F527B" w:rsidP="009F527B">
            <w:pPr>
              <w:pStyle w:val="ListParagraph"/>
              <w:ind w:left="0"/>
              <w:jc w:val="center"/>
              <w:rPr>
                <w:noProof/>
                <w:sz w:val="22"/>
                <w:szCs w:val="22"/>
                <w:lang w:val="id-ID"/>
              </w:rPr>
            </w:pPr>
            <w:r w:rsidRPr="00EC24EC">
              <w:rPr>
                <w:b/>
                <w:bCs/>
                <w:color w:val="000000"/>
                <w:sz w:val="22"/>
                <w:szCs w:val="22"/>
                <w:lang w:val="id-ID"/>
              </w:rPr>
              <w:t>UTM X</w:t>
            </w:r>
          </w:p>
        </w:tc>
        <w:tc>
          <w:tcPr>
            <w:tcW w:w="986" w:type="dxa"/>
            <w:vAlign w:val="center"/>
          </w:tcPr>
          <w:p w:rsidR="009F527B" w:rsidRPr="00EC24EC" w:rsidRDefault="009F527B" w:rsidP="009F527B">
            <w:pPr>
              <w:pStyle w:val="ListParagraph"/>
              <w:ind w:left="0"/>
              <w:jc w:val="center"/>
              <w:rPr>
                <w:noProof/>
                <w:sz w:val="22"/>
                <w:szCs w:val="22"/>
                <w:lang w:val="id-ID"/>
              </w:rPr>
            </w:pPr>
            <w:r w:rsidRPr="00EC24EC">
              <w:rPr>
                <w:b/>
                <w:bCs/>
                <w:color w:val="000000"/>
                <w:sz w:val="22"/>
                <w:szCs w:val="22"/>
                <w:lang w:val="id-ID"/>
              </w:rPr>
              <w:t>UTM Y</w:t>
            </w:r>
          </w:p>
        </w:tc>
        <w:tc>
          <w:tcPr>
            <w:tcW w:w="1604" w:type="dxa"/>
            <w:vAlign w:val="center"/>
          </w:tcPr>
          <w:p w:rsidR="009F527B" w:rsidRPr="00EC24EC" w:rsidRDefault="00F85834" w:rsidP="009F527B">
            <w:pPr>
              <w:pStyle w:val="ListParagraph"/>
              <w:ind w:left="0"/>
              <w:jc w:val="center"/>
              <w:rPr>
                <w:noProof/>
                <w:sz w:val="22"/>
                <w:szCs w:val="22"/>
                <w:lang w:val="id-ID"/>
              </w:rPr>
            </w:pPr>
            <w:r>
              <w:rPr>
                <w:b/>
                <w:bCs/>
                <w:color w:val="000000"/>
                <w:sz w:val="22"/>
                <w:szCs w:val="22"/>
                <w:lang w:val="id-ID"/>
              </w:rPr>
              <w:t>Elevation</w:t>
            </w:r>
            <w:r>
              <w:rPr>
                <w:b/>
                <w:bCs/>
                <w:color w:val="000000"/>
                <w:sz w:val="22"/>
                <w:szCs w:val="22"/>
                <w:lang w:val="en-US"/>
              </w:rPr>
              <w:t xml:space="preserve"> </w:t>
            </w:r>
            <w:r w:rsidR="009F527B" w:rsidRPr="00EC24EC">
              <w:rPr>
                <w:b/>
                <w:bCs/>
                <w:color w:val="000000"/>
                <w:sz w:val="22"/>
                <w:szCs w:val="22"/>
                <w:lang w:val="id-ID"/>
              </w:rPr>
              <w:t>(m)</w:t>
            </w:r>
          </w:p>
        </w:tc>
        <w:tc>
          <w:tcPr>
            <w:tcW w:w="1286" w:type="dxa"/>
            <w:vAlign w:val="center"/>
          </w:tcPr>
          <w:p w:rsidR="009F527B" w:rsidRPr="00EC24EC" w:rsidRDefault="009F527B" w:rsidP="009F527B">
            <w:pPr>
              <w:pStyle w:val="ListParagraph"/>
              <w:ind w:left="0"/>
              <w:jc w:val="center"/>
              <w:rPr>
                <w:noProof/>
                <w:sz w:val="22"/>
                <w:szCs w:val="22"/>
                <w:lang w:val="id-ID"/>
              </w:rPr>
            </w:pPr>
            <w:r w:rsidRPr="00EC24EC">
              <w:rPr>
                <w:b/>
                <w:bCs/>
                <w:color w:val="000000"/>
                <w:sz w:val="22"/>
                <w:szCs w:val="22"/>
                <w:lang w:val="id-ID"/>
              </w:rPr>
              <w:t>Depth (m)</w:t>
            </w:r>
          </w:p>
        </w:tc>
        <w:tc>
          <w:tcPr>
            <w:tcW w:w="1010" w:type="dxa"/>
            <w:vAlign w:val="center"/>
          </w:tcPr>
          <w:p w:rsidR="009F527B" w:rsidRPr="00EC24EC" w:rsidRDefault="009F527B" w:rsidP="009F527B">
            <w:pPr>
              <w:pStyle w:val="ListParagraph"/>
              <w:ind w:left="0"/>
              <w:jc w:val="center"/>
              <w:rPr>
                <w:noProof/>
                <w:sz w:val="22"/>
                <w:szCs w:val="22"/>
                <w:lang w:val="id-ID"/>
              </w:rPr>
            </w:pPr>
            <w:r w:rsidRPr="00EC24EC">
              <w:rPr>
                <w:b/>
                <w:bCs/>
                <w:color w:val="000000"/>
                <w:sz w:val="22"/>
                <w:szCs w:val="22"/>
                <w:lang w:val="id-ID"/>
              </w:rPr>
              <w:t>Creteria</w:t>
            </w:r>
          </w:p>
        </w:tc>
      </w:tr>
      <w:tr w:rsidR="009F527B" w:rsidRPr="00EC24EC" w:rsidTr="00F85834">
        <w:trPr>
          <w:jc w:val="center"/>
        </w:trPr>
        <w:tc>
          <w:tcPr>
            <w:tcW w:w="769"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w:t>
            </w:r>
          </w:p>
        </w:tc>
        <w:tc>
          <w:tcPr>
            <w:tcW w:w="1040"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528745</w:t>
            </w:r>
          </w:p>
        </w:tc>
        <w:tc>
          <w:tcPr>
            <w:tcW w:w="986"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9408152</w:t>
            </w:r>
          </w:p>
        </w:tc>
        <w:tc>
          <w:tcPr>
            <w:tcW w:w="1604"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95</w:t>
            </w:r>
          </w:p>
        </w:tc>
        <w:tc>
          <w:tcPr>
            <w:tcW w:w="1286"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w:t>
            </w:r>
          </w:p>
        </w:tc>
        <w:tc>
          <w:tcPr>
            <w:tcW w:w="1010" w:type="dxa"/>
            <w:tcBorders>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S-2</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522130</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9411259</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129</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7</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S-3</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523568</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9412582</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115</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8</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S-4</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524952</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9412747</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119</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S-5</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522200</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9411940</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122</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6</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S-6</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523727</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9410037</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134</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S-7</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527191</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9407329</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135</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6</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3</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S-8</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529173</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9398352</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25</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6</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S-9</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528858</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9398352</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69</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S-10</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527628</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9401190</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102</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8</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S-11</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526949</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9399776</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128</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Ind-1</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527377</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9399440</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101</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Ind-2</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527266</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9398811</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54</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Ind-3</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527180</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9398839</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53</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Ind-4</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522668</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9399732</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259</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S-12</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526310</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9398979</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90</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6</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S-13</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523139</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9399776</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246</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S-14</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520802</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9400777</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390</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noProof/>
                <w:sz w:val="22"/>
                <w:szCs w:val="22"/>
                <w:lang w:val="id-ID"/>
              </w:rPr>
              <w:t>-</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w:t>
            </w:r>
          </w:p>
        </w:tc>
      </w:tr>
      <w:tr w:rsidR="009F527B" w:rsidRPr="00EC24EC" w:rsidTr="00F85834">
        <w:trPr>
          <w:jc w:val="center"/>
        </w:trPr>
        <w:tc>
          <w:tcPr>
            <w:tcW w:w="769"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S-15</w:t>
            </w:r>
          </w:p>
        </w:tc>
        <w:tc>
          <w:tcPr>
            <w:tcW w:w="104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533823</w:t>
            </w:r>
          </w:p>
        </w:tc>
        <w:tc>
          <w:tcPr>
            <w:tcW w:w="9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9405946</w:t>
            </w:r>
          </w:p>
        </w:tc>
        <w:tc>
          <w:tcPr>
            <w:tcW w:w="1604"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188</w:t>
            </w:r>
          </w:p>
        </w:tc>
        <w:tc>
          <w:tcPr>
            <w:tcW w:w="1286"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4</w:t>
            </w:r>
          </w:p>
        </w:tc>
        <w:tc>
          <w:tcPr>
            <w:tcW w:w="1010" w:type="dxa"/>
            <w:tcBorders>
              <w:top w:val="nil"/>
              <w:bottom w:val="nil"/>
            </w:tcBorders>
            <w:vAlign w:val="bottom"/>
          </w:tcPr>
          <w:p w:rsidR="009F527B" w:rsidRPr="00EC24EC" w:rsidRDefault="009F527B" w:rsidP="009F527B">
            <w:pPr>
              <w:pStyle w:val="ListParagraph"/>
              <w:ind w:left="0"/>
              <w:jc w:val="center"/>
              <w:rPr>
                <w:noProof/>
                <w:sz w:val="22"/>
                <w:szCs w:val="22"/>
                <w:lang w:val="id-ID"/>
              </w:rPr>
            </w:pPr>
            <w:r w:rsidRPr="00EC24EC">
              <w:rPr>
                <w:color w:val="000000"/>
                <w:sz w:val="22"/>
                <w:szCs w:val="22"/>
                <w:lang w:val="id-ID"/>
              </w:rPr>
              <w:t>2</w:t>
            </w:r>
          </w:p>
        </w:tc>
      </w:tr>
      <w:tr w:rsidR="009F527B" w:rsidRPr="00C61279" w:rsidTr="00F85834">
        <w:trPr>
          <w:jc w:val="center"/>
        </w:trPr>
        <w:tc>
          <w:tcPr>
            <w:tcW w:w="769"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S-16</w:t>
            </w:r>
          </w:p>
        </w:tc>
        <w:tc>
          <w:tcPr>
            <w:tcW w:w="104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535972</w:t>
            </w:r>
          </w:p>
        </w:tc>
        <w:tc>
          <w:tcPr>
            <w:tcW w:w="9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9408411</w:t>
            </w:r>
          </w:p>
        </w:tc>
        <w:tc>
          <w:tcPr>
            <w:tcW w:w="1604"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107</w:t>
            </w:r>
          </w:p>
        </w:tc>
        <w:tc>
          <w:tcPr>
            <w:tcW w:w="12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3</w:t>
            </w:r>
          </w:p>
        </w:tc>
        <w:tc>
          <w:tcPr>
            <w:tcW w:w="101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w:t>
            </w:r>
          </w:p>
        </w:tc>
      </w:tr>
      <w:tr w:rsidR="009F527B" w:rsidRPr="00C61279" w:rsidTr="00F85834">
        <w:trPr>
          <w:jc w:val="center"/>
        </w:trPr>
        <w:tc>
          <w:tcPr>
            <w:tcW w:w="769"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S-17</w:t>
            </w:r>
          </w:p>
        </w:tc>
        <w:tc>
          <w:tcPr>
            <w:tcW w:w="104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540144</w:t>
            </w:r>
          </w:p>
        </w:tc>
        <w:tc>
          <w:tcPr>
            <w:tcW w:w="9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9412514</w:t>
            </w:r>
          </w:p>
        </w:tc>
        <w:tc>
          <w:tcPr>
            <w:tcW w:w="1604"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89</w:t>
            </w:r>
          </w:p>
        </w:tc>
        <w:tc>
          <w:tcPr>
            <w:tcW w:w="12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w:t>
            </w:r>
          </w:p>
        </w:tc>
        <w:tc>
          <w:tcPr>
            <w:tcW w:w="101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2</w:t>
            </w:r>
          </w:p>
        </w:tc>
      </w:tr>
      <w:tr w:rsidR="009F527B" w:rsidRPr="00C61279" w:rsidTr="00F85834">
        <w:trPr>
          <w:jc w:val="center"/>
        </w:trPr>
        <w:tc>
          <w:tcPr>
            <w:tcW w:w="769"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S-18</w:t>
            </w:r>
          </w:p>
        </w:tc>
        <w:tc>
          <w:tcPr>
            <w:tcW w:w="104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538320</w:t>
            </w:r>
          </w:p>
        </w:tc>
        <w:tc>
          <w:tcPr>
            <w:tcW w:w="9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9411933</w:t>
            </w:r>
          </w:p>
        </w:tc>
        <w:tc>
          <w:tcPr>
            <w:tcW w:w="1604"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196</w:t>
            </w:r>
          </w:p>
        </w:tc>
        <w:tc>
          <w:tcPr>
            <w:tcW w:w="12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w:t>
            </w:r>
          </w:p>
        </w:tc>
        <w:tc>
          <w:tcPr>
            <w:tcW w:w="101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w:t>
            </w:r>
          </w:p>
        </w:tc>
      </w:tr>
      <w:tr w:rsidR="009F527B" w:rsidRPr="00C61279" w:rsidTr="00F85834">
        <w:trPr>
          <w:jc w:val="center"/>
        </w:trPr>
        <w:tc>
          <w:tcPr>
            <w:tcW w:w="769"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S-19</w:t>
            </w:r>
          </w:p>
        </w:tc>
        <w:tc>
          <w:tcPr>
            <w:tcW w:w="104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532303</w:t>
            </w:r>
          </w:p>
        </w:tc>
        <w:tc>
          <w:tcPr>
            <w:tcW w:w="9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9412547</w:t>
            </w:r>
          </w:p>
        </w:tc>
        <w:tc>
          <w:tcPr>
            <w:tcW w:w="1604"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161</w:t>
            </w:r>
          </w:p>
        </w:tc>
        <w:tc>
          <w:tcPr>
            <w:tcW w:w="12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w:t>
            </w:r>
          </w:p>
        </w:tc>
        <w:tc>
          <w:tcPr>
            <w:tcW w:w="101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w:t>
            </w:r>
          </w:p>
        </w:tc>
      </w:tr>
      <w:tr w:rsidR="009F527B" w:rsidRPr="00C61279" w:rsidTr="00F85834">
        <w:trPr>
          <w:jc w:val="center"/>
        </w:trPr>
        <w:tc>
          <w:tcPr>
            <w:tcW w:w="769"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S-20</w:t>
            </w:r>
          </w:p>
        </w:tc>
        <w:tc>
          <w:tcPr>
            <w:tcW w:w="104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532412</w:t>
            </w:r>
          </w:p>
        </w:tc>
        <w:tc>
          <w:tcPr>
            <w:tcW w:w="9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9409752</w:t>
            </w:r>
          </w:p>
        </w:tc>
        <w:tc>
          <w:tcPr>
            <w:tcW w:w="1604"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187</w:t>
            </w:r>
          </w:p>
        </w:tc>
        <w:tc>
          <w:tcPr>
            <w:tcW w:w="1286"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w:t>
            </w:r>
          </w:p>
        </w:tc>
        <w:tc>
          <w:tcPr>
            <w:tcW w:w="1010" w:type="dxa"/>
            <w:tcBorders>
              <w:top w:val="nil"/>
              <w:bottom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w:t>
            </w:r>
          </w:p>
        </w:tc>
      </w:tr>
      <w:tr w:rsidR="009F527B" w:rsidRPr="00C61279" w:rsidTr="00F85834">
        <w:trPr>
          <w:jc w:val="center"/>
        </w:trPr>
        <w:tc>
          <w:tcPr>
            <w:tcW w:w="769"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S-21</w:t>
            </w:r>
          </w:p>
        </w:tc>
        <w:tc>
          <w:tcPr>
            <w:tcW w:w="1040"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527140</w:t>
            </w:r>
          </w:p>
        </w:tc>
        <w:tc>
          <w:tcPr>
            <w:tcW w:w="986"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9406424</w:t>
            </w:r>
          </w:p>
        </w:tc>
        <w:tc>
          <w:tcPr>
            <w:tcW w:w="1604"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149</w:t>
            </w:r>
          </w:p>
        </w:tc>
        <w:tc>
          <w:tcPr>
            <w:tcW w:w="1286"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6</w:t>
            </w:r>
          </w:p>
        </w:tc>
        <w:tc>
          <w:tcPr>
            <w:tcW w:w="1010" w:type="dxa"/>
            <w:tcBorders>
              <w:top w:val="nil"/>
            </w:tcBorders>
            <w:vAlign w:val="bottom"/>
          </w:tcPr>
          <w:p w:rsidR="009F527B" w:rsidRPr="00C61279" w:rsidRDefault="009F527B" w:rsidP="009F527B">
            <w:pPr>
              <w:pStyle w:val="ListParagraph"/>
              <w:ind w:left="0"/>
              <w:jc w:val="center"/>
              <w:rPr>
                <w:noProof/>
                <w:sz w:val="22"/>
                <w:szCs w:val="22"/>
                <w:lang w:val="id-ID"/>
              </w:rPr>
            </w:pPr>
            <w:r w:rsidRPr="00C61279">
              <w:rPr>
                <w:color w:val="000000"/>
                <w:sz w:val="22"/>
                <w:szCs w:val="22"/>
                <w:lang w:val="id-ID"/>
              </w:rPr>
              <w:t>3</w:t>
            </w:r>
          </w:p>
        </w:tc>
      </w:tr>
    </w:tbl>
    <w:p w:rsidR="00245CC0" w:rsidRPr="00EC24EC" w:rsidRDefault="005D5F79" w:rsidP="00F7506D">
      <w:pPr>
        <w:pStyle w:val="Abstract"/>
        <w:tabs>
          <w:tab w:val="left" w:pos="284"/>
        </w:tabs>
        <w:spacing w:after="0"/>
        <w:ind w:left="0" w:right="-1"/>
        <w:rPr>
          <w:rFonts w:ascii="Times New Roman" w:hAnsi="Times New Roman"/>
          <w:sz w:val="22"/>
          <w:szCs w:val="22"/>
          <w:lang w:val="id-ID"/>
        </w:rPr>
      </w:pPr>
      <w:r w:rsidRPr="00EC24EC">
        <w:rPr>
          <w:rFonts w:ascii="Times New Roman" w:hAnsi="Times New Roman"/>
          <w:sz w:val="22"/>
          <w:lang w:val="id-ID"/>
        </w:rPr>
        <w:lastRenderedPageBreak/>
        <w:t xml:space="preserve">Figure 3b. </w:t>
      </w:r>
      <w:r w:rsidR="00D3518C" w:rsidRPr="00EC24EC">
        <w:rPr>
          <w:rFonts w:ascii="Times New Roman" w:hAnsi="Times New Roman"/>
          <w:sz w:val="22"/>
          <w:lang w:val="en-US"/>
        </w:rPr>
        <w:t xml:space="preserve">shows </w:t>
      </w:r>
      <w:r w:rsidRPr="00EC24EC">
        <w:rPr>
          <w:rFonts w:ascii="Times New Roman" w:hAnsi="Times New Roman"/>
          <w:sz w:val="22"/>
          <w:lang w:val="id-ID"/>
        </w:rPr>
        <w:t>validation of groundwater sub basins with Hydrogeological maps</w:t>
      </w:r>
      <w:r w:rsidR="00E57FEE" w:rsidRPr="00EC24EC">
        <w:rPr>
          <w:rFonts w:ascii="Times New Roman" w:hAnsi="Times New Roman"/>
          <w:sz w:val="22"/>
          <w:lang w:val="en-ID"/>
        </w:rPr>
        <w:t xml:space="preserve"> [15]</w:t>
      </w:r>
      <w:r w:rsidRPr="00EC24EC">
        <w:rPr>
          <w:rFonts w:ascii="Times New Roman" w:hAnsi="Times New Roman"/>
          <w:sz w:val="22"/>
          <w:lang w:val="id-ID"/>
        </w:rPr>
        <w:t xml:space="preserve">. </w:t>
      </w:r>
      <w:r w:rsidR="00D3518C" w:rsidRPr="00EC24EC">
        <w:rPr>
          <w:rFonts w:ascii="Times New Roman" w:hAnsi="Times New Roman"/>
          <w:sz w:val="22"/>
          <w:lang w:val="id-ID"/>
        </w:rPr>
        <w:t xml:space="preserve">The groundwater sub-basin (low/negative anomaly residual Bouguer) correlates with "moderately productive aquifers" and "highly productive aquifers". Where moderately productive aquifers are aquifer of most varying transmissivity, depth to groundwater is generally great, spring discharge is generally low, and wells yield is generally less than 5 l/sec. Moreover, highly productive aquifers are aquifers that are widely varying transmissivity, depth to water table varies in a wide range, spring </w:t>
      </w:r>
      <w:r w:rsidR="00D3518C" w:rsidRPr="00EC24EC">
        <w:rPr>
          <w:rFonts w:ascii="Times New Roman" w:hAnsi="Times New Roman"/>
          <w:sz w:val="22"/>
          <w:szCs w:val="22"/>
          <w:lang w:val="id-ID"/>
        </w:rPr>
        <w:t>discharge varies, some of them discharging more than 100 l/sec, well generally yield more than 5 l/sec</w:t>
      </w:r>
      <w:r w:rsidR="00E57FEE" w:rsidRPr="00EC24EC">
        <w:rPr>
          <w:rFonts w:ascii="Times New Roman" w:hAnsi="Times New Roman"/>
          <w:sz w:val="22"/>
          <w:szCs w:val="22"/>
          <w:lang w:val="en-ID"/>
        </w:rPr>
        <w:t xml:space="preserve"> [15]</w:t>
      </w:r>
      <w:r w:rsidR="00D3518C" w:rsidRPr="00EC24EC">
        <w:rPr>
          <w:rFonts w:ascii="Times New Roman" w:hAnsi="Times New Roman"/>
          <w:sz w:val="22"/>
          <w:szCs w:val="22"/>
          <w:lang w:val="id-ID"/>
        </w:rPr>
        <w:t>. Both types of aquifers are extensive, where aquifers in which flow are both through fissures and interstices. A small anomaly residual Bouguer low/negative corresponds to poorly productive aquifers.</w:t>
      </w:r>
    </w:p>
    <w:p w:rsidR="00D3518C" w:rsidRPr="00EC24EC" w:rsidRDefault="00D3518C" w:rsidP="00800E72">
      <w:pPr>
        <w:pStyle w:val="Abstract"/>
        <w:tabs>
          <w:tab w:val="left" w:pos="284"/>
        </w:tabs>
        <w:spacing w:after="0"/>
        <w:ind w:left="0" w:right="-1"/>
        <w:rPr>
          <w:rFonts w:ascii="Times New Roman" w:hAnsi="Times New Roman"/>
          <w:sz w:val="22"/>
          <w:szCs w:val="22"/>
          <w:lang w:val="id-ID"/>
        </w:rPr>
      </w:pPr>
      <w:r w:rsidRPr="00EC24EC">
        <w:rPr>
          <w:rStyle w:val="tlid-translation"/>
          <w:rFonts w:ascii="Times New Roman" w:hAnsi="Times New Roman"/>
          <w:sz w:val="22"/>
          <w:szCs w:val="22"/>
        </w:rPr>
        <w:t>From the 2D modeling of the Residual Bouguer Anomaly in the Northwest - Northeast direction, it describes a vertical layering model. Which consists of 3 main layers with a density from top to bottom, respectively 2.0 gr / cm3, 2.3 gr / cm3 and 2.7 gr / cm3. Layers with a density of 2.3 gram / cm3 are associated as groundwater basins from the Young Volcanic Formation (Qhv) and Lampung Formation (Qtl). Moreover, this groundwater basin to a depth of 1.5-2.0 km. Furthermore, the lithology with a density of 2.7 gr / cm3 is the bedrock of the Tarahan Formation (Tpot).</w:t>
      </w:r>
    </w:p>
    <w:p w:rsidR="00D3518C" w:rsidRDefault="00D3518C" w:rsidP="00800E72">
      <w:pPr>
        <w:pStyle w:val="Abstract"/>
        <w:tabs>
          <w:tab w:val="left" w:pos="284"/>
        </w:tabs>
        <w:spacing w:before="240" w:after="0"/>
        <w:ind w:left="0" w:right="-1"/>
        <w:rPr>
          <w:sz w:val="22"/>
          <w:szCs w:val="22"/>
          <w:lang w:val="id-ID"/>
        </w:rPr>
      </w:pPr>
      <w:r>
        <w:rPr>
          <w:noProof/>
          <w:lang w:val="en-US"/>
        </w:rPr>
        <w:drawing>
          <wp:inline distT="0" distB="0" distL="0" distR="0">
            <wp:extent cx="5650865" cy="3362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png"/>
                    <pic:cNvPicPr/>
                  </pic:nvPicPr>
                  <pic:blipFill rotWithShape="1">
                    <a:blip r:embed="rId14" cstate="print">
                      <a:extLst>
                        <a:ext uri="{28A0092B-C50C-407E-A947-70E740481C1C}">
                          <a14:useLocalDpi xmlns:a14="http://schemas.microsoft.com/office/drawing/2010/main" val="0"/>
                        </a:ext>
                      </a:extLst>
                    </a:blip>
                    <a:srcRect b="1936"/>
                    <a:stretch/>
                  </pic:blipFill>
                  <pic:spPr bwMode="auto">
                    <a:xfrm>
                      <a:off x="0" y="0"/>
                      <a:ext cx="5695182" cy="3388694"/>
                    </a:xfrm>
                    <a:prstGeom prst="rect">
                      <a:avLst/>
                    </a:prstGeom>
                    <a:ln>
                      <a:noFill/>
                    </a:ln>
                    <a:extLst>
                      <a:ext uri="{53640926-AAD7-44D8-BBD7-CCE9431645EC}">
                        <a14:shadowObscured xmlns:a14="http://schemas.microsoft.com/office/drawing/2010/main"/>
                      </a:ext>
                    </a:extLst>
                  </pic:spPr>
                </pic:pic>
              </a:graphicData>
            </a:graphic>
          </wp:inline>
        </w:drawing>
      </w:r>
    </w:p>
    <w:p w:rsidR="00076749" w:rsidRPr="00076749" w:rsidRDefault="00076749" w:rsidP="000C0834">
      <w:pPr>
        <w:pStyle w:val="Abstract"/>
        <w:tabs>
          <w:tab w:val="left" w:pos="284"/>
        </w:tabs>
        <w:spacing w:before="240" w:after="0"/>
        <w:ind w:left="0" w:right="-1"/>
        <w:jc w:val="center"/>
        <w:rPr>
          <w:sz w:val="22"/>
          <w:szCs w:val="22"/>
          <w:lang w:val="en-US"/>
        </w:rPr>
      </w:pPr>
      <w:r w:rsidRPr="00076749">
        <w:rPr>
          <w:b/>
          <w:sz w:val="22"/>
          <w:szCs w:val="22"/>
          <w:lang w:val="en-US"/>
        </w:rPr>
        <w:t>Figure 4.</w:t>
      </w:r>
      <w:r>
        <w:rPr>
          <w:sz w:val="22"/>
          <w:szCs w:val="22"/>
          <w:lang w:val="en-US"/>
        </w:rPr>
        <w:t xml:space="preserve"> 2D model of Bouguer residual anomaly</w:t>
      </w:r>
    </w:p>
    <w:p w:rsidR="000C0834" w:rsidRDefault="000C0834" w:rsidP="00DC6CBC">
      <w:pPr>
        <w:pStyle w:val="Abstract"/>
        <w:tabs>
          <w:tab w:val="left" w:pos="284"/>
        </w:tabs>
        <w:spacing w:after="0"/>
        <w:ind w:left="0" w:right="-1"/>
        <w:rPr>
          <w:rStyle w:val="tlid-translation"/>
          <w:rFonts w:ascii="Times New Roman" w:hAnsi="Times New Roman"/>
          <w:sz w:val="22"/>
          <w:szCs w:val="22"/>
        </w:rPr>
      </w:pPr>
    </w:p>
    <w:p w:rsidR="00615AC8" w:rsidRPr="00DC6CBC" w:rsidRDefault="00E73CB5" w:rsidP="00DC6CBC">
      <w:pPr>
        <w:pStyle w:val="Abstract"/>
        <w:tabs>
          <w:tab w:val="left" w:pos="284"/>
        </w:tabs>
        <w:spacing w:after="0"/>
        <w:ind w:left="0" w:right="-1"/>
        <w:rPr>
          <w:rStyle w:val="tlid-translation"/>
          <w:rFonts w:ascii="Times New Roman" w:hAnsi="Times New Roman"/>
          <w:sz w:val="22"/>
          <w:szCs w:val="22"/>
        </w:rPr>
      </w:pPr>
      <w:r>
        <w:rPr>
          <w:rStyle w:val="tlid-translation"/>
          <w:rFonts w:ascii="Times New Roman" w:hAnsi="Times New Roman"/>
          <w:sz w:val="22"/>
          <w:szCs w:val="22"/>
        </w:rPr>
        <w:t>The 2</w:t>
      </w:r>
      <w:r w:rsidR="00373176" w:rsidRPr="00DC6CBC">
        <w:rPr>
          <w:rStyle w:val="tlid-translation"/>
          <w:rFonts w:ascii="Times New Roman" w:hAnsi="Times New Roman"/>
          <w:sz w:val="22"/>
          <w:szCs w:val="22"/>
        </w:rPr>
        <w:t>D modeling</w:t>
      </w:r>
      <w:r>
        <w:rPr>
          <w:rStyle w:val="tlid-translation"/>
          <w:rFonts w:ascii="Times New Roman" w:hAnsi="Times New Roman"/>
          <w:sz w:val="22"/>
          <w:szCs w:val="22"/>
        </w:rPr>
        <w:t xml:space="preserve"> as shown by Figure 4</w:t>
      </w:r>
      <w:r w:rsidR="00373176" w:rsidRPr="00DC6CBC">
        <w:rPr>
          <w:rStyle w:val="tlid-translation"/>
          <w:rFonts w:ascii="Times New Roman" w:hAnsi="Times New Roman"/>
          <w:sz w:val="22"/>
          <w:szCs w:val="22"/>
        </w:rPr>
        <w:t>, we can further emphasize the shape and geometry of the groundwater basin in Bandar Lampung.</w:t>
      </w:r>
    </w:p>
    <w:p w:rsidR="00245CC0" w:rsidRPr="00DC6CBC" w:rsidRDefault="00245CC0" w:rsidP="00DC6CBC">
      <w:pPr>
        <w:pStyle w:val="Abstract"/>
        <w:numPr>
          <w:ilvl w:val="0"/>
          <w:numId w:val="19"/>
        </w:numPr>
        <w:spacing w:before="240" w:after="0"/>
        <w:ind w:left="284" w:right="-1" w:hanging="284"/>
        <w:rPr>
          <w:rFonts w:ascii="Times New Roman" w:hAnsi="Times New Roman"/>
          <w:b/>
          <w:sz w:val="22"/>
          <w:szCs w:val="22"/>
          <w:lang w:val="id-ID"/>
        </w:rPr>
      </w:pPr>
      <w:r w:rsidRPr="00DC6CBC">
        <w:rPr>
          <w:rFonts w:ascii="Times New Roman" w:hAnsi="Times New Roman"/>
          <w:b/>
          <w:sz w:val="22"/>
          <w:szCs w:val="22"/>
          <w:lang w:val="id-ID"/>
        </w:rPr>
        <w:t>Conclusion</w:t>
      </w:r>
    </w:p>
    <w:p w:rsidR="008644E5" w:rsidRPr="00DC6CBC" w:rsidRDefault="008644E5" w:rsidP="00D3518C">
      <w:pPr>
        <w:pStyle w:val="ListParagraph"/>
        <w:numPr>
          <w:ilvl w:val="0"/>
          <w:numId w:val="20"/>
        </w:numPr>
        <w:adjustRightInd w:val="0"/>
        <w:ind w:left="284" w:hanging="284"/>
        <w:contextualSpacing w:val="0"/>
        <w:jc w:val="both"/>
        <w:rPr>
          <w:sz w:val="22"/>
          <w:szCs w:val="22"/>
          <w:lang w:val="id-ID"/>
        </w:rPr>
      </w:pPr>
      <w:r w:rsidRPr="00DC6CBC">
        <w:rPr>
          <w:rStyle w:val="tlid-translation"/>
          <w:sz w:val="22"/>
          <w:szCs w:val="22"/>
        </w:rPr>
        <w:t xml:space="preserve">Residual Bouguer Anomaly and SVD of Residual Bouguer can delineate groundwater basins in Bandar Lampung. Where the groundwater basin is shown by residual Bouguer anomaly -22 to -5 mgal and the boundary of the basin is indicated by the </w:t>
      </w:r>
      <w:r w:rsidR="0023687F" w:rsidRPr="00DC6CBC">
        <w:rPr>
          <w:rStyle w:val="tlid-translation"/>
          <w:sz w:val="22"/>
          <w:szCs w:val="22"/>
        </w:rPr>
        <w:t xml:space="preserve">zero value </w:t>
      </w:r>
      <w:r w:rsidR="009E1A67" w:rsidRPr="00DC6CBC">
        <w:rPr>
          <w:rStyle w:val="tlid-translation"/>
          <w:sz w:val="22"/>
          <w:szCs w:val="22"/>
        </w:rPr>
        <w:t xml:space="preserve">contours </w:t>
      </w:r>
      <w:r w:rsidR="0023687F" w:rsidRPr="00DC6CBC">
        <w:rPr>
          <w:rStyle w:val="tlid-translation"/>
          <w:sz w:val="22"/>
          <w:szCs w:val="22"/>
        </w:rPr>
        <w:t xml:space="preserve">of </w:t>
      </w:r>
      <w:r w:rsidRPr="00DC6CBC">
        <w:rPr>
          <w:rStyle w:val="tlid-translation"/>
          <w:sz w:val="22"/>
          <w:szCs w:val="22"/>
        </w:rPr>
        <w:t>SVD residual Bouguer anomaly.</w:t>
      </w:r>
    </w:p>
    <w:p w:rsidR="003143A3" w:rsidRPr="00DC6CBC" w:rsidRDefault="003143A3" w:rsidP="00D3518C">
      <w:pPr>
        <w:pStyle w:val="ListParagraph"/>
        <w:numPr>
          <w:ilvl w:val="0"/>
          <w:numId w:val="20"/>
        </w:numPr>
        <w:adjustRightInd w:val="0"/>
        <w:ind w:left="284" w:hanging="284"/>
        <w:contextualSpacing w:val="0"/>
        <w:jc w:val="both"/>
        <w:rPr>
          <w:sz w:val="22"/>
          <w:szCs w:val="22"/>
          <w:lang w:val="id-ID"/>
        </w:rPr>
      </w:pPr>
      <w:r w:rsidRPr="00DC6CBC">
        <w:rPr>
          <w:rStyle w:val="tlid-translation"/>
          <w:sz w:val="22"/>
          <w:szCs w:val="22"/>
        </w:rPr>
        <w:t xml:space="preserve">2D modeling shows rock layers and geometry of the groundwater basins where groundwater basins are in the Lampung Formation (Qtl) and the Young Volcanic Formation (Qhv). </w:t>
      </w:r>
      <w:r w:rsidR="00DA3D62" w:rsidRPr="00DC6CBC">
        <w:rPr>
          <w:rStyle w:val="tlid-translation"/>
          <w:sz w:val="22"/>
          <w:szCs w:val="22"/>
        </w:rPr>
        <w:t>Besides</w:t>
      </w:r>
      <w:r w:rsidRPr="00DC6CBC">
        <w:rPr>
          <w:rStyle w:val="tlid-translation"/>
          <w:sz w:val="22"/>
          <w:szCs w:val="22"/>
        </w:rPr>
        <w:t>, this groundwater basin is located at a depth of 1.</w:t>
      </w:r>
      <w:r w:rsidR="00615AC8" w:rsidRPr="00DC6CBC">
        <w:rPr>
          <w:rStyle w:val="tlid-translation"/>
          <w:sz w:val="22"/>
          <w:szCs w:val="22"/>
        </w:rPr>
        <w:t>0</w:t>
      </w:r>
      <w:r w:rsidRPr="00DC6CBC">
        <w:rPr>
          <w:rStyle w:val="tlid-translation"/>
          <w:sz w:val="22"/>
          <w:szCs w:val="22"/>
        </w:rPr>
        <w:t xml:space="preserve"> - </w:t>
      </w:r>
      <w:r w:rsidR="00615AC8" w:rsidRPr="00DC6CBC">
        <w:rPr>
          <w:rStyle w:val="tlid-translation"/>
          <w:sz w:val="22"/>
          <w:szCs w:val="22"/>
        </w:rPr>
        <w:t>1</w:t>
      </w:r>
      <w:r w:rsidRPr="00DC6CBC">
        <w:rPr>
          <w:rStyle w:val="tlid-translation"/>
          <w:sz w:val="22"/>
          <w:szCs w:val="22"/>
        </w:rPr>
        <w:t>.</w:t>
      </w:r>
      <w:r w:rsidR="00615AC8" w:rsidRPr="00DC6CBC">
        <w:rPr>
          <w:rStyle w:val="tlid-translation"/>
          <w:sz w:val="22"/>
          <w:szCs w:val="22"/>
        </w:rPr>
        <w:t>5</w:t>
      </w:r>
      <w:r w:rsidRPr="00DC6CBC">
        <w:rPr>
          <w:rStyle w:val="tlid-translation"/>
          <w:sz w:val="22"/>
          <w:szCs w:val="22"/>
        </w:rPr>
        <w:t xml:space="preserve"> km.</w:t>
      </w:r>
    </w:p>
    <w:p w:rsidR="00D3518C" w:rsidRPr="00DC6CBC" w:rsidRDefault="00A5023A" w:rsidP="00D3518C">
      <w:pPr>
        <w:pStyle w:val="ListParagraph"/>
        <w:numPr>
          <w:ilvl w:val="0"/>
          <w:numId w:val="20"/>
        </w:numPr>
        <w:adjustRightInd w:val="0"/>
        <w:ind w:left="284" w:hanging="284"/>
        <w:contextualSpacing w:val="0"/>
        <w:jc w:val="both"/>
        <w:rPr>
          <w:sz w:val="22"/>
          <w:szCs w:val="22"/>
          <w:lang w:val="id-ID"/>
        </w:rPr>
      </w:pPr>
      <w:r w:rsidRPr="00DC6CBC">
        <w:rPr>
          <w:sz w:val="22"/>
          <w:szCs w:val="22"/>
          <w:lang w:val="en-ID"/>
        </w:rPr>
        <w:lastRenderedPageBreak/>
        <w:t>This groundwater basin correlates with aquifer productivity of 5</w:t>
      </w:r>
      <w:r w:rsidR="003501D7" w:rsidRPr="00DC6CBC">
        <w:rPr>
          <w:sz w:val="22"/>
          <w:szCs w:val="22"/>
          <w:lang w:val="en-ID"/>
        </w:rPr>
        <w:t xml:space="preserve"> to </w:t>
      </w:r>
      <w:r w:rsidRPr="00DC6CBC">
        <w:rPr>
          <w:sz w:val="22"/>
          <w:szCs w:val="22"/>
          <w:lang w:val="en-ID"/>
        </w:rPr>
        <w:t>100 l/sec as shown by the Hydrogeological Map.</w:t>
      </w:r>
    </w:p>
    <w:p w:rsidR="00245CC0" w:rsidRPr="000C0834" w:rsidRDefault="00245CC0" w:rsidP="00DC6CBC">
      <w:pPr>
        <w:pStyle w:val="Abstract"/>
        <w:tabs>
          <w:tab w:val="left" w:pos="284"/>
        </w:tabs>
        <w:spacing w:before="240" w:after="120"/>
        <w:ind w:left="0" w:right="-1"/>
        <w:rPr>
          <w:rFonts w:ascii="Times New Roman" w:hAnsi="Times New Roman"/>
          <w:b/>
          <w:sz w:val="22"/>
          <w:szCs w:val="24"/>
          <w:lang w:val="id-ID"/>
        </w:rPr>
      </w:pPr>
      <w:r w:rsidRPr="000C0834">
        <w:rPr>
          <w:rFonts w:ascii="Times New Roman" w:hAnsi="Times New Roman"/>
          <w:b/>
          <w:sz w:val="22"/>
          <w:szCs w:val="24"/>
          <w:lang w:val="id-ID"/>
        </w:rPr>
        <w:t>Acknowledgments</w:t>
      </w:r>
    </w:p>
    <w:p w:rsidR="00245CC0" w:rsidRPr="000C0834" w:rsidRDefault="004803B5" w:rsidP="00DC6CBC">
      <w:pPr>
        <w:pStyle w:val="Abstract"/>
        <w:spacing w:after="0"/>
        <w:ind w:left="0" w:right="-1"/>
        <w:rPr>
          <w:rFonts w:ascii="Times New Roman" w:hAnsi="Times New Roman"/>
          <w:sz w:val="22"/>
          <w:szCs w:val="24"/>
          <w:lang w:val="id-ID"/>
        </w:rPr>
      </w:pPr>
      <w:r w:rsidRPr="000C0834">
        <w:rPr>
          <w:rStyle w:val="tlid-translation"/>
          <w:rFonts w:ascii="Times New Roman" w:hAnsi="Times New Roman"/>
          <w:sz w:val="22"/>
          <w:szCs w:val="24"/>
        </w:rPr>
        <w:t xml:space="preserve">Acknowledgments were </w:t>
      </w:r>
      <w:r w:rsidRPr="000C0834">
        <w:rPr>
          <w:rFonts w:ascii="Times New Roman" w:hAnsi="Times New Roman"/>
          <w:sz w:val="22"/>
          <w:szCs w:val="24"/>
          <w:lang w:val="id-ID"/>
        </w:rPr>
        <w:t xml:space="preserve">delivered </w:t>
      </w:r>
      <w:r w:rsidRPr="000C0834">
        <w:rPr>
          <w:rStyle w:val="tlid-translation"/>
          <w:rFonts w:ascii="Times New Roman" w:hAnsi="Times New Roman"/>
          <w:sz w:val="22"/>
          <w:szCs w:val="24"/>
        </w:rPr>
        <w:t xml:space="preserve">to ESDM Bandung for providing data access and to the </w:t>
      </w:r>
      <w:r w:rsidR="009016F4" w:rsidRPr="000C0834">
        <w:rPr>
          <w:rStyle w:val="tlid-translation"/>
          <w:rFonts w:ascii="Times New Roman" w:hAnsi="Times New Roman"/>
          <w:sz w:val="22"/>
          <w:szCs w:val="24"/>
        </w:rPr>
        <w:t>UNILA</w:t>
      </w:r>
      <w:r w:rsidRPr="000C0834">
        <w:rPr>
          <w:rStyle w:val="tlid-translation"/>
          <w:rFonts w:ascii="Times New Roman" w:hAnsi="Times New Roman"/>
          <w:sz w:val="22"/>
          <w:szCs w:val="24"/>
        </w:rPr>
        <w:t xml:space="preserve"> Geophysical Engineering students who have helped in data processing and modeling until the completion of this paper.</w:t>
      </w:r>
    </w:p>
    <w:p w:rsidR="00245CC0" w:rsidRPr="00DC6CBC" w:rsidRDefault="00245CC0" w:rsidP="00DC6CBC">
      <w:pPr>
        <w:pStyle w:val="Abstract"/>
        <w:spacing w:before="240" w:after="0"/>
        <w:ind w:left="0" w:right="-1"/>
        <w:rPr>
          <w:rFonts w:ascii="Times New Roman" w:hAnsi="Times New Roman"/>
          <w:b/>
          <w:sz w:val="22"/>
          <w:lang w:val="id-ID"/>
        </w:rPr>
      </w:pPr>
      <w:r w:rsidRPr="00DC6CBC">
        <w:rPr>
          <w:rFonts w:ascii="Times New Roman" w:hAnsi="Times New Roman"/>
          <w:b/>
          <w:sz w:val="22"/>
          <w:lang w:val="id-ID"/>
        </w:rPr>
        <w:t>References</w:t>
      </w:r>
    </w:p>
    <w:p w:rsidR="00245CC0" w:rsidRPr="002C4DFB" w:rsidRDefault="00EF19B5" w:rsidP="00AB277B">
      <w:pPr>
        <w:pStyle w:val="Reference"/>
        <w:tabs>
          <w:tab w:val="clear" w:pos="709"/>
        </w:tabs>
        <w:ind w:left="567" w:hanging="567"/>
        <w:rPr>
          <w:rFonts w:ascii="Times New Roman" w:hAnsi="Times New Roman"/>
          <w:lang w:val="en-ID"/>
        </w:rPr>
      </w:pPr>
      <w:r w:rsidRPr="002C4DFB">
        <w:rPr>
          <w:rFonts w:ascii="Times New Roman" w:hAnsi="Times New Roman"/>
          <w:lang w:val="en-ID"/>
        </w:rPr>
        <w:t>Mangga</w:t>
      </w:r>
      <w:r w:rsidR="00210814" w:rsidRPr="002C4DFB">
        <w:rPr>
          <w:rFonts w:ascii="Times New Roman" w:hAnsi="Times New Roman"/>
          <w:lang w:val="en-ID"/>
        </w:rPr>
        <w:t xml:space="preserve"> S A, Amirudin, Suwarti T, Gapoer S and Sidarto 1993</w:t>
      </w:r>
      <w:r w:rsidR="008B0A26" w:rsidRPr="002C4DFB">
        <w:rPr>
          <w:rFonts w:ascii="Times New Roman" w:hAnsi="Times New Roman"/>
          <w:lang w:val="en-ID"/>
        </w:rPr>
        <w:t xml:space="preserve"> </w:t>
      </w:r>
      <w:r w:rsidR="00210814" w:rsidRPr="002C4DFB">
        <w:rPr>
          <w:rFonts w:ascii="Times New Roman" w:hAnsi="Times New Roman"/>
          <w:i/>
          <w:lang w:val="en-ID"/>
        </w:rPr>
        <w:t>Geological Map The Tanjungkarang Quadrangle</w:t>
      </w:r>
      <w:r w:rsidR="00210814" w:rsidRPr="002C4DFB">
        <w:rPr>
          <w:rFonts w:ascii="Times New Roman" w:hAnsi="Times New Roman"/>
          <w:lang w:val="en-ID"/>
        </w:rPr>
        <w:t>, Sumatera Geological Research and Development Centre</w:t>
      </w:r>
    </w:p>
    <w:p w:rsidR="00210814" w:rsidRPr="002C4DFB" w:rsidRDefault="00EF19B5" w:rsidP="00AB277B">
      <w:pPr>
        <w:pStyle w:val="Reference"/>
        <w:tabs>
          <w:tab w:val="clear" w:pos="709"/>
        </w:tabs>
        <w:ind w:left="567" w:hanging="567"/>
        <w:rPr>
          <w:rFonts w:ascii="Times New Roman" w:hAnsi="Times New Roman"/>
          <w:lang w:val="id-ID"/>
        </w:rPr>
      </w:pPr>
      <w:r w:rsidRPr="002C4DFB">
        <w:rPr>
          <w:rFonts w:ascii="Times New Roman" w:hAnsi="Times New Roman"/>
          <w:lang w:val="en-ID"/>
        </w:rPr>
        <w:t>Wiryawan</w:t>
      </w:r>
      <w:r w:rsidR="00210814" w:rsidRPr="002C4DFB">
        <w:rPr>
          <w:rFonts w:ascii="Times New Roman" w:hAnsi="Times New Roman"/>
          <w:lang w:val="en-ID"/>
        </w:rPr>
        <w:t xml:space="preserve"> 1999 </w:t>
      </w:r>
      <w:r w:rsidR="00210814" w:rsidRPr="002C4DFB">
        <w:rPr>
          <w:rFonts w:ascii="Times New Roman" w:hAnsi="Times New Roman"/>
          <w:i/>
          <w:lang w:val="id-ID"/>
        </w:rPr>
        <w:t>Atlas Sumberdaya Wilayah Pesisir Lampung</w:t>
      </w:r>
      <w:r w:rsidR="00210814" w:rsidRPr="002C4DFB">
        <w:rPr>
          <w:rFonts w:ascii="Times New Roman" w:hAnsi="Times New Roman"/>
          <w:lang w:val="id-ID"/>
        </w:rPr>
        <w:t xml:space="preserve"> (Coastal Resources Center, University of Rhode Island dan Pusat Kajian Sumberdaya Pesisir dan Lautan, Bandar Lampung, Indonesia)</w:t>
      </w:r>
    </w:p>
    <w:p w:rsidR="00EF19B5" w:rsidRPr="002C4DFB" w:rsidRDefault="00EF19B5" w:rsidP="00AB277B">
      <w:pPr>
        <w:pStyle w:val="Reference"/>
        <w:tabs>
          <w:tab w:val="clear" w:pos="709"/>
        </w:tabs>
        <w:ind w:left="567" w:hanging="567"/>
        <w:rPr>
          <w:rFonts w:ascii="Times New Roman" w:hAnsi="Times New Roman"/>
        </w:rPr>
      </w:pPr>
      <w:r w:rsidRPr="002C4DFB">
        <w:rPr>
          <w:rFonts w:ascii="Times New Roman" w:hAnsi="Times New Roman"/>
        </w:rPr>
        <w:t>Kolker A S, Cable J E, Johannesson K H, Allison M A and Inniss L V 2013 Pathways and</w:t>
      </w:r>
      <w:r w:rsidRPr="002C4DFB">
        <w:rPr>
          <w:rFonts w:ascii="Times New Roman" w:hAnsi="Times New Roman"/>
        </w:rPr>
        <w:br/>
        <w:t xml:space="preserve">processes associated with the transport of groundwater in deltaic systems </w:t>
      </w:r>
      <w:r w:rsidRPr="002C4DFB">
        <w:rPr>
          <w:rFonts w:ascii="Times New Roman" w:hAnsi="Times New Roman"/>
          <w:i/>
          <w:iCs/>
        </w:rPr>
        <w:t>J. Hydrol.</w:t>
      </w:r>
      <w:r w:rsidR="008B0A26" w:rsidRPr="002C4DFB">
        <w:rPr>
          <w:rFonts w:ascii="Times New Roman" w:hAnsi="Times New Roman"/>
          <w:i/>
          <w:iCs/>
        </w:rPr>
        <w:t xml:space="preserve"> </w:t>
      </w:r>
      <w:r w:rsidRPr="002C4DFB">
        <w:rPr>
          <w:rFonts w:ascii="Times New Roman" w:hAnsi="Times New Roman"/>
        </w:rPr>
        <w:t>498 319–</w:t>
      </w:r>
      <w:r w:rsidRPr="002C4DFB">
        <w:rPr>
          <w:rFonts w:ascii="Times New Roman" w:hAnsi="Times New Roman"/>
        </w:rPr>
        <w:br/>
        <w:t>334</w:t>
      </w:r>
    </w:p>
    <w:p w:rsidR="00EF19B5" w:rsidRPr="002C4DFB" w:rsidRDefault="00EF19B5" w:rsidP="00AB277B">
      <w:pPr>
        <w:pStyle w:val="Reference"/>
        <w:tabs>
          <w:tab w:val="clear" w:pos="709"/>
        </w:tabs>
        <w:ind w:left="567" w:hanging="567"/>
        <w:rPr>
          <w:rFonts w:ascii="Times New Roman" w:hAnsi="Times New Roman"/>
        </w:rPr>
      </w:pPr>
      <w:r w:rsidRPr="002C4DFB">
        <w:rPr>
          <w:rFonts w:ascii="Times New Roman" w:hAnsi="Times New Roman"/>
        </w:rPr>
        <w:t>Sawyer A H, Edmonds D A, Knights D, Kolker A S, Cable J E, Johannesson K H, Allison M A,</w:t>
      </w:r>
      <w:r w:rsidRPr="002C4DFB">
        <w:rPr>
          <w:rFonts w:ascii="Times New Roman" w:hAnsi="Times New Roman"/>
        </w:rPr>
        <w:br/>
        <w:t>Inniss L V, Bethke C M, Johnson T M, Winter T C, Harvey J W, Franke O L, Alley W M,</w:t>
      </w:r>
      <w:r w:rsidRPr="002C4DFB">
        <w:rPr>
          <w:rFonts w:ascii="Times New Roman" w:hAnsi="Times New Roman"/>
        </w:rPr>
        <w:br/>
        <w:t>Fan Y, Article R, Fan Y, Gleeson T, Befus K M, Jasechko S, Luijendijk E, Cardenas M B,</w:t>
      </w:r>
      <w:r w:rsidRPr="002C4DFB">
        <w:rPr>
          <w:rFonts w:ascii="Times New Roman" w:hAnsi="Times New Roman"/>
        </w:rPr>
        <w:br/>
        <w:t>Vandersteen J, Sophocleous M A, Taniguchi M, Alley W M, Allen D M, and Zhou Y 2015</w:t>
      </w:r>
      <w:r w:rsidRPr="002C4DFB">
        <w:rPr>
          <w:rFonts w:ascii="Times New Roman" w:hAnsi="Times New Roman"/>
        </w:rPr>
        <w:br/>
        <w:t xml:space="preserve">Pathways and processes associated with the transport of groundwater in deltaic systems </w:t>
      </w:r>
      <w:r w:rsidRPr="002C4DFB">
        <w:rPr>
          <w:rFonts w:ascii="Times New Roman" w:hAnsi="Times New Roman"/>
          <w:i/>
          <w:iCs/>
        </w:rPr>
        <w:t>Nat.</w:t>
      </w:r>
      <w:r w:rsidRPr="002C4DFB">
        <w:rPr>
          <w:rFonts w:ascii="Times New Roman" w:hAnsi="Times New Roman"/>
        </w:rPr>
        <w:br/>
      </w:r>
      <w:r w:rsidRPr="002C4DFB">
        <w:rPr>
          <w:rFonts w:ascii="Times New Roman" w:hAnsi="Times New Roman"/>
          <w:i/>
          <w:iCs/>
        </w:rPr>
        <w:t>Publ. Gr.</w:t>
      </w:r>
      <w:r w:rsidRPr="002C4DFB">
        <w:rPr>
          <w:rFonts w:ascii="Times New Roman" w:hAnsi="Times New Roman"/>
        </w:rPr>
        <w:t>3 319–334</w:t>
      </w:r>
    </w:p>
    <w:p w:rsidR="00EF19B5" w:rsidRPr="002C4DFB" w:rsidRDefault="00EF19B5" w:rsidP="00AB277B">
      <w:pPr>
        <w:pStyle w:val="Reference"/>
        <w:tabs>
          <w:tab w:val="clear" w:pos="709"/>
        </w:tabs>
        <w:ind w:left="567" w:hanging="567"/>
        <w:rPr>
          <w:rFonts w:ascii="Times New Roman" w:hAnsi="Times New Roman"/>
          <w:color w:val="231F20"/>
        </w:rPr>
      </w:pPr>
      <w:r w:rsidRPr="002C4DFB">
        <w:rPr>
          <w:rFonts w:ascii="Times New Roman" w:hAnsi="Times New Roman"/>
        </w:rPr>
        <w:t>Handayani L, Wardhana D D, Hartanto P, Delinom R, Sudaryanto, BaktiH and Lubis R F 2017 Gravity survey of groundwater characterization at Labuan</w:t>
      </w:r>
      <w:r w:rsidR="002C4DFB" w:rsidRPr="002C4DFB">
        <w:rPr>
          <w:rFonts w:ascii="Times New Roman" w:hAnsi="Times New Roman"/>
        </w:rPr>
        <w:t xml:space="preserve"> </w:t>
      </w:r>
      <w:r w:rsidRPr="002C4DFB">
        <w:rPr>
          <w:rFonts w:ascii="Times New Roman" w:hAnsi="Times New Roman"/>
        </w:rPr>
        <w:t>Basin</w:t>
      </w:r>
      <w:r w:rsidR="002C4DFB" w:rsidRPr="002C4DFB">
        <w:rPr>
          <w:rFonts w:ascii="Times New Roman" w:hAnsi="Times New Roman"/>
        </w:rPr>
        <w:t xml:space="preserve"> </w:t>
      </w:r>
      <w:r w:rsidR="002C4DFB" w:rsidRPr="002C4DFB">
        <w:rPr>
          <w:rFonts w:ascii="Times New Roman" w:hAnsi="Times New Roman"/>
          <w:color w:val="231F20"/>
        </w:rPr>
        <w:t xml:space="preserve">Global </w:t>
      </w:r>
      <w:r w:rsidRPr="002C4DFB">
        <w:rPr>
          <w:rFonts w:ascii="Times New Roman" w:hAnsi="Times New Roman"/>
          <w:color w:val="231F20"/>
        </w:rPr>
        <w:t>Colloquium on Geo</w:t>
      </w:r>
      <w:r w:rsidR="002C4DFB" w:rsidRPr="002C4DFB">
        <w:rPr>
          <w:rFonts w:ascii="Times New Roman" w:hAnsi="Times New Roman"/>
          <w:color w:val="231F20"/>
        </w:rPr>
        <w:t>s</w:t>
      </w:r>
      <w:r w:rsidRPr="002C4DFB">
        <w:rPr>
          <w:rFonts w:ascii="Times New Roman" w:hAnsi="Times New Roman"/>
          <w:color w:val="231F20"/>
        </w:rPr>
        <w:t>ciences and Engineering 2017</w:t>
      </w:r>
      <w:r w:rsidR="002C4DFB" w:rsidRPr="002C4DFB">
        <w:rPr>
          <w:rFonts w:ascii="Times New Roman" w:hAnsi="Times New Roman"/>
          <w:color w:val="231F20"/>
        </w:rPr>
        <w:t xml:space="preserve"> </w:t>
      </w:r>
      <w:r w:rsidRPr="002C4DFB">
        <w:rPr>
          <w:rFonts w:ascii="Times New Roman" w:hAnsi="Times New Roman"/>
          <w:i/>
          <w:color w:val="231F20"/>
        </w:rPr>
        <w:t>IOP Conf. Series: Earth and Environmental Science</w:t>
      </w:r>
      <w:r w:rsidRPr="002C4DFB">
        <w:rPr>
          <w:rFonts w:ascii="Times New Roman" w:hAnsi="Times New Roman"/>
          <w:color w:val="231F20"/>
        </w:rPr>
        <w:t xml:space="preserve"> 118 (2018) 012015</w:t>
      </w:r>
    </w:p>
    <w:p w:rsidR="00EF19B5" w:rsidRPr="002C4DFB" w:rsidRDefault="00EF19B5" w:rsidP="00AB277B">
      <w:pPr>
        <w:pStyle w:val="Reference"/>
        <w:tabs>
          <w:tab w:val="clear" w:pos="709"/>
        </w:tabs>
        <w:ind w:left="567" w:hanging="567"/>
        <w:rPr>
          <w:rFonts w:ascii="Times New Roman" w:hAnsi="Times New Roman"/>
        </w:rPr>
      </w:pPr>
      <w:r w:rsidRPr="002C4DFB">
        <w:rPr>
          <w:rFonts w:ascii="Times New Roman" w:hAnsi="Times New Roman"/>
        </w:rPr>
        <w:t>Murty B V S and Raghavan V K 2002 The gravity method in groundwater exploration in</w:t>
      </w:r>
      <w:r w:rsidRPr="002C4DFB">
        <w:rPr>
          <w:rFonts w:ascii="Times New Roman" w:hAnsi="Times New Roman"/>
        </w:rPr>
        <w:br/>
        <w:t xml:space="preserve">crystalline rocks : a study in the peninsular granitic region of Hyderabad, India </w:t>
      </w:r>
      <w:r w:rsidRPr="002C4DFB">
        <w:rPr>
          <w:rFonts w:ascii="Times New Roman" w:hAnsi="Times New Roman"/>
          <w:i/>
          <w:iCs/>
        </w:rPr>
        <w:t>Hydrogeol.</w:t>
      </w:r>
      <w:r w:rsidRPr="002C4DFB">
        <w:rPr>
          <w:rFonts w:ascii="Times New Roman" w:hAnsi="Times New Roman"/>
        </w:rPr>
        <w:br/>
      </w:r>
      <w:r w:rsidRPr="002C4DFB">
        <w:rPr>
          <w:rFonts w:ascii="Times New Roman" w:hAnsi="Times New Roman"/>
          <w:i/>
          <w:iCs/>
        </w:rPr>
        <w:t>J.</w:t>
      </w:r>
      <w:r w:rsidR="003F64BB">
        <w:rPr>
          <w:rFonts w:ascii="Times New Roman" w:hAnsi="Times New Roman"/>
          <w:i/>
          <w:iCs/>
        </w:rPr>
        <w:t xml:space="preserve"> </w:t>
      </w:r>
      <w:r w:rsidRPr="002C4DFB">
        <w:rPr>
          <w:rFonts w:ascii="Times New Roman" w:hAnsi="Times New Roman"/>
          <w:b/>
          <w:bCs/>
        </w:rPr>
        <w:t xml:space="preserve">10 </w:t>
      </w:r>
      <w:r w:rsidRPr="002C4DFB">
        <w:rPr>
          <w:rFonts w:ascii="Times New Roman" w:hAnsi="Times New Roman"/>
        </w:rPr>
        <w:t>307–321</w:t>
      </w:r>
    </w:p>
    <w:p w:rsidR="00EF19B5" w:rsidRPr="002C4DFB" w:rsidRDefault="00EF19B5" w:rsidP="00AB277B">
      <w:pPr>
        <w:pStyle w:val="Reference"/>
        <w:tabs>
          <w:tab w:val="clear" w:pos="709"/>
        </w:tabs>
        <w:ind w:left="567" w:hanging="567"/>
        <w:rPr>
          <w:rFonts w:ascii="Times New Roman" w:hAnsi="Times New Roman"/>
        </w:rPr>
      </w:pPr>
      <w:r w:rsidRPr="002C4DFB">
        <w:rPr>
          <w:rFonts w:ascii="Times New Roman" w:hAnsi="Times New Roman"/>
        </w:rPr>
        <w:t>Chandler V W 1994 Gravity investigation for potential groundwater resources in Rock County,</w:t>
      </w:r>
      <w:r w:rsidRPr="002C4DFB">
        <w:rPr>
          <w:rFonts w:ascii="Times New Roman" w:hAnsi="Times New Roman"/>
        </w:rPr>
        <w:br/>
        <w:t>Minnesota (St. Paul)</w:t>
      </w:r>
      <w:r w:rsidR="0030444B">
        <w:rPr>
          <w:rFonts w:ascii="Times New Roman" w:hAnsi="Times New Roman"/>
        </w:rPr>
        <w:t xml:space="preserve"> </w:t>
      </w:r>
      <w:r w:rsidR="0030444B" w:rsidRPr="0030444B">
        <w:rPr>
          <w:rFonts w:ascii="Times New Roman" w:hAnsi="Times New Roman"/>
          <w:i/>
        </w:rPr>
        <w:t>Report of Investigations 44</w:t>
      </w:r>
    </w:p>
    <w:p w:rsidR="00EF19B5"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 xml:space="preserve">Rubin Y and Hubbard S S 2005 </w:t>
      </w:r>
      <w:r w:rsidRPr="002C4DFB">
        <w:rPr>
          <w:rFonts w:ascii="Times New Roman" w:hAnsi="Times New Roman"/>
          <w:i/>
          <w:iCs/>
        </w:rPr>
        <w:t>Hydrogeophysics</w:t>
      </w:r>
      <w:r w:rsidR="002C4DFB">
        <w:rPr>
          <w:rFonts w:ascii="Times New Roman" w:hAnsi="Times New Roman"/>
          <w:i/>
          <w:iCs/>
        </w:rPr>
        <w:t xml:space="preserve"> </w:t>
      </w:r>
      <w:r w:rsidRPr="002C4DFB">
        <w:rPr>
          <w:rFonts w:ascii="Times New Roman" w:hAnsi="Times New Roman"/>
        </w:rPr>
        <w:t>(Netherlands: Springer)</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Selim E S, Abdel-raouf O and Mesalam M 2016 Implementation of magnetic, gravity and</w:t>
      </w:r>
      <w:r w:rsidRPr="002C4DFB">
        <w:rPr>
          <w:rFonts w:ascii="Times New Roman" w:hAnsi="Times New Roman"/>
        </w:rPr>
        <w:br/>
        <w:t>resistivity data in identifying groundwater occurrences in El Qaa Plain area, Southern Sinai,</w:t>
      </w:r>
      <w:r w:rsidRPr="002C4DFB">
        <w:rPr>
          <w:rFonts w:ascii="Times New Roman" w:hAnsi="Times New Roman"/>
        </w:rPr>
        <w:br/>
        <w:t xml:space="preserve">Egypt </w:t>
      </w:r>
      <w:r w:rsidRPr="002C4DFB">
        <w:rPr>
          <w:rFonts w:ascii="Times New Roman" w:hAnsi="Times New Roman"/>
          <w:i/>
          <w:iCs/>
        </w:rPr>
        <w:t>J. Asian Earth Sci.</w:t>
      </w:r>
      <w:r w:rsidRPr="002C4DFB">
        <w:rPr>
          <w:rFonts w:ascii="Times New Roman" w:hAnsi="Times New Roman"/>
          <w:b/>
          <w:bCs/>
        </w:rPr>
        <w:t xml:space="preserve">128 </w:t>
      </w:r>
      <w:r w:rsidRPr="002C4DFB">
        <w:rPr>
          <w:rFonts w:ascii="Times New Roman" w:hAnsi="Times New Roman"/>
        </w:rPr>
        <w:t>1–26</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Sultan S A, Mohameden I M and Santos F M 2009 Hydrogeophysical study of the El Qaa Plain,</w:t>
      </w:r>
      <w:r w:rsidRPr="002C4DFB">
        <w:rPr>
          <w:rFonts w:ascii="Times New Roman" w:hAnsi="Times New Roman"/>
        </w:rPr>
        <w:br/>
        <w:t xml:space="preserve">Sinai, Egypt </w:t>
      </w:r>
      <w:r w:rsidRPr="002C4DFB">
        <w:rPr>
          <w:rFonts w:ascii="Times New Roman" w:hAnsi="Times New Roman"/>
          <w:i/>
          <w:iCs/>
        </w:rPr>
        <w:t>Bull. Eng. Geol. Environ.</w:t>
      </w:r>
      <w:r w:rsidRPr="002C4DFB">
        <w:rPr>
          <w:rFonts w:ascii="Times New Roman" w:hAnsi="Times New Roman"/>
          <w:b/>
          <w:bCs/>
        </w:rPr>
        <w:t xml:space="preserve">68 </w:t>
      </w:r>
      <w:r w:rsidRPr="002C4DFB">
        <w:rPr>
          <w:rFonts w:ascii="Times New Roman" w:hAnsi="Times New Roman"/>
        </w:rPr>
        <w:t>525–537</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Kennedy J, Ferre T P A, Guntner A, Abe M and Creutsfeldt B 2014 Direct measurement of</w:t>
      </w:r>
      <w:r w:rsidRPr="002C4DFB">
        <w:rPr>
          <w:rFonts w:ascii="Times New Roman" w:hAnsi="Times New Roman"/>
        </w:rPr>
        <w:br/>
        <w:t xml:space="preserve">subsurface mass change using the variable baseline gravity gradient method </w:t>
      </w:r>
      <w:r w:rsidRPr="002C4DFB">
        <w:rPr>
          <w:rFonts w:ascii="Times New Roman" w:hAnsi="Times New Roman"/>
          <w:i/>
          <w:iCs/>
        </w:rPr>
        <w:t>Geophys. Res.</w:t>
      </w:r>
      <w:r w:rsidRPr="002C4DFB">
        <w:rPr>
          <w:rFonts w:ascii="Times New Roman" w:hAnsi="Times New Roman"/>
        </w:rPr>
        <w:br/>
      </w:r>
      <w:r w:rsidRPr="002C4DFB">
        <w:rPr>
          <w:rFonts w:ascii="Times New Roman" w:hAnsi="Times New Roman"/>
          <w:i/>
          <w:iCs/>
        </w:rPr>
        <w:t>Lett.</w:t>
      </w:r>
      <w:r w:rsidRPr="002C4DFB">
        <w:rPr>
          <w:rFonts w:ascii="Times New Roman" w:hAnsi="Times New Roman"/>
        </w:rPr>
        <w:t xml:space="preserve">, </w:t>
      </w:r>
      <w:r w:rsidRPr="002C4DFB">
        <w:rPr>
          <w:rFonts w:ascii="Times New Roman" w:hAnsi="Times New Roman"/>
          <w:b/>
          <w:bCs/>
        </w:rPr>
        <w:t xml:space="preserve">41 </w:t>
      </w:r>
      <w:r w:rsidRPr="002C4DFB">
        <w:rPr>
          <w:rFonts w:ascii="Times New Roman" w:hAnsi="Times New Roman"/>
        </w:rPr>
        <w:t>2827–2834</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Gonzales-Quiros A and Fernandez-Alvarez J P 2014 Simultaneous solving of three-dimensional</w:t>
      </w:r>
      <w:r w:rsidRPr="002C4DFB">
        <w:rPr>
          <w:rFonts w:ascii="Times New Roman" w:hAnsi="Times New Roman"/>
        </w:rPr>
        <w:br/>
        <w:t xml:space="preserve">gravity anomalies caused by pumping tests in unconfined </w:t>
      </w:r>
      <w:r w:rsidRPr="002C4DFB">
        <w:rPr>
          <w:rFonts w:ascii="Times New Roman" w:hAnsi="Times New Roman"/>
          <w:i/>
          <w:iCs/>
        </w:rPr>
        <w:t>Math Geosci</w:t>
      </w:r>
      <w:r w:rsidR="003F64BB">
        <w:rPr>
          <w:rFonts w:ascii="Times New Roman" w:hAnsi="Times New Roman"/>
          <w:i/>
          <w:iCs/>
        </w:rPr>
        <w:t xml:space="preserve"> </w:t>
      </w:r>
      <w:r w:rsidRPr="002C4DFB">
        <w:rPr>
          <w:rFonts w:ascii="Times New Roman" w:hAnsi="Times New Roman"/>
          <w:b/>
          <w:bCs/>
        </w:rPr>
        <w:t xml:space="preserve">46 </w:t>
      </w:r>
      <w:r w:rsidRPr="002C4DFB">
        <w:rPr>
          <w:rFonts w:ascii="Times New Roman" w:hAnsi="Times New Roman"/>
        </w:rPr>
        <w:t>649–664</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Gehman C L, Harry D L, Sanford W E, Stednick J D and Beckman N A 2009 Estimating</w:t>
      </w:r>
      <w:r w:rsidRPr="002C4DFB">
        <w:rPr>
          <w:rFonts w:ascii="Times New Roman" w:hAnsi="Times New Roman"/>
        </w:rPr>
        <w:br/>
        <w:t>specific yield and storage change in an unconfined aquifer using temporal gravity surveys</w:t>
      </w:r>
      <w:r w:rsidRPr="002C4DFB">
        <w:rPr>
          <w:rFonts w:ascii="Times New Roman" w:hAnsi="Times New Roman"/>
        </w:rPr>
        <w:br/>
      </w:r>
      <w:r w:rsidRPr="002C4DFB">
        <w:rPr>
          <w:rFonts w:ascii="Times New Roman" w:hAnsi="Times New Roman"/>
          <w:i/>
          <w:iCs/>
        </w:rPr>
        <w:t>Water Resour. Res.</w:t>
      </w:r>
      <w:r w:rsidR="003F64BB">
        <w:rPr>
          <w:rFonts w:ascii="Times New Roman" w:hAnsi="Times New Roman"/>
          <w:i/>
          <w:iCs/>
        </w:rPr>
        <w:t xml:space="preserve"> </w:t>
      </w:r>
      <w:r w:rsidRPr="002C4DFB">
        <w:rPr>
          <w:rFonts w:ascii="Times New Roman" w:hAnsi="Times New Roman"/>
          <w:b/>
          <w:bCs/>
        </w:rPr>
        <w:t xml:space="preserve">45 </w:t>
      </w:r>
      <w:r w:rsidRPr="002C4DFB">
        <w:rPr>
          <w:rFonts w:ascii="Times New Roman" w:hAnsi="Times New Roman"/>
        </w:rPr>
        <w:t>1–16</w:t>
      </w:r>
    </w:p>
    <w:p w:rsidR="006D1C0A" w:rsidRPr="002C4DFB" w:rsidRDefault="006D1C0A" w:rsidP="00AB277B">
      <w:pPr>
        <w:pStyle w:val="Reference"/>
        <w:tabs>
          <w:tab w:val="clear" w:pos="709"/>
        </w:tabs>
        <w:ind w:left="567" w:hanging="567"/>
        <w:rPr>
          <w:rFonts w:ascii="Times New Roman" w:hAnsi="Times New Roman"/>
        </w:rPr>
      </w:pPr>
      <w:r w:rsidRPr="002C4DFB">
        <w:rPr>
          <w:rFonts w:ascii="Times New Roman" w:hAnsi="Times New Roman"/>
        </w:rPr>
        <w:t xml:space="preserve">Reynold J M 1997 </w:t>
      </w:r>
      <w:r w:rsidRPr="003F64BB">
        <w:rPr>
          <w:rFonts w:ascii="Times New Roman" w:hAnsi="Times New Roman"/>
          <w:i/>
        </w:rPr>
        <w:t>An introduction to applied and environmental geophysics</w:t>
      </w:r>
      <w:r w:rsidRPr="002C4DFB">
        <w:rPr>
          <w:rFonts w:ascii="Times New Roman" w:hAnsi="Times New Roman"/>
        </w:rPr>
        <w:t xml:space="preserve"> (England: John Wiley &amp; Sons Ltd)</w:t>
      </w:r>
    </w:p>
    <w:p w:rsidR="00D912B6" w:rsidRPr="00DC6CBC" w:rsidRDefault="006D1C0A" w:rsidP="00AB277B">
      <w:pPr>
        <w:pStyle w:val="Reference"/>
        <w:tabs>
          <w:tab w:val="clear" w:pos="709"/>
        </w:tabs>
        <w:ind w:left="567" w:hanging="567"/>
      </w:pPr>
      <w:r w:rsidRPr="002C4DFB">
        <w:rPr>
          <w:rFonts w:ascii="Times New Roman" w:hAnsi="Times New Roman"/>
        </w:rPr>
        <w:t xml:space="preserve">Setiadi H and Ruhijat S 1993 </w:t>
      </w:r>
      <w:r w:rsidRPr="003F64BB">
        <w:rPr>
          <w:rFonts w:ascii="Times New Roman" w:hAnsi="Times New Roman"/>
          <w:i/>
        </w:rPr>
        <w:t>Hidrogeological Map of Indonesia Sheet Tanjung</w:t>
      </w:r>
      <w:r w:rsidR="00210814" w:rsidRPr="003F64BB">
        <w:rPr>
          <w:rFonts w:ascii="Times New Roman" w:hAnsi="Times New Roman"/>
          <w:i/>
        </w:rPr>
        <w:t>karang (Sumatera)</w:t>
      </w:r>
      <w:r w:rsidR="00210814" w:rsidRPr="002C4DFB">
        <w:rPr>
          <w:rFonts w:ascii="Times New Roman" w:hAnsi="Times New Roman"/>
        </w:rPr>
        <w:t xml:space="preserve"> Directorat of Environmental Geology</w:t>
      </w:r>
    </w:p>
    <w:p w:rsidR="00D912B6" w:rsidRPr="00C61279" w:rsidRDefault="00D912B6" w:rsidP="00245CC0">
      <w:pPr>
        <w:rPr>
          <w:lang w:val="id-ID"/>
        </w:rPr>
      </w:pPr>
    </w:p>
    <w:sectPr w:rsidR="00D912B6" w:rsidRPr="00C61279" w:rsidSect="00A65257">
      <w:footerReference w:type="first" r:id="rId15"/>
      <w:footnotePr>
        <w:pos w:val="beneathText"/>
      </w:footnotePr>
      <w:endnotePr>
        <w:numFmt w:val="chicago"/>
        <w:numStart w:val="4"/>
      </w:endnotePr>
      <w:pgSz w:w="11907" w:h="16840" w:code="9"/>
      <w:pgMar w:top="2268" w:right="1418" w:bottom="1531" w:left="1418"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C9" w:rsidRDefault="00650EC9">
      <w:r>
        <w:separator/>
      </w:r>
    </w:p>
  </w:endnote>
  <w:endnote w:type="continuationSeparator" w:id="0">
    <w:p w:rsidR="00650EC9" w:rsidRDefault="0065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E81" w:rsidRPr="00225C35" w:rsidRDefault="00A6659B" w:rsidP="00A6659B">
    <w:pPr>
      <w:pStyle w:val="Footer"/>
      <w:tabs>
        <w:tab w:val="center" w:pos="4535"/>
        <w:tab w:val="left" w:pos="7305"/>
      </w:tabs>
      <w:rPr>
        <w:rFonts w:asciiTheme="minorHAnsi" w:hAnsiTheme="minorHAnsi"/>
      </w:rPr>
    </w:pPr>
    <w:r>
      <w:tab/>
    </w:r>
    <w:r>
      <w:tab/>
    </w:r>
    <w:sdt>
      <w:sdtPr>
        <w:id w:val="-1799286645"/>
        <w:docPartObj>
          <w:docPartGallery w:val="Page Numbers (Bottom of Page)"/>
          <w:docPartUnique/>
        </w:docPartObj>
      </w:sdtPr>
      <w:sdtEndPr/>
      <w:sdtContent>
        <w:r w:rsidR="00A03E81">
          <w:ptab w:relativeTo="margin" w:alignment="left" w:leader="none"/>
        </w:r>
      </w:sdtContent>
    </w:sdt>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C9" w:rsidRPr="00043761" w:rsidRDefault="00650EC9">
      <w:pPr>
        <w:pStyle w:val="Bulleted"/>
        <w:numPr>
          <w:ilvl w:val="0"/>
          <w:numId w:val="0"/>
        </w:numPr>
        <w:rPr>
          <w:rFonts w:ascii="Sabon" w:hAnsi="Sabon"/>
          <w:color w:val="auto"/>
          <w:szCs w:val="20"/>
        </w:rPr>
      </w:pPr>
      <w:r>
        <w:separator/>
      </w:r>
    </w:p>
  </w:footnote>
  <w:footnote w:type="continuationSeparator" w:id="0">
    <w:p w:rsidR="00650EC9" w:rsidRDefault="00650E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8C7F95"/>
    <w:multiLevelType w:val="hybridMultilevel"/>
    <w:tmpl w:val="D8749790"/>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8512EF9"/>
    <w:multiLevelType w:val="hybridMultilevel"/>
    <w:tmpl w:val="AADE9BA0"/>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9304ED"/>
    <w:multiLevelType w:val="hybridMultilevel"/>
    <w:tmpl w:val="37D8D29A"/>
    <w:lvl w:ilvl="0" w:tplc="59CC6F18">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7">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B8A7E5F"/>
    <w:multiLevelType w:val="hybridMultilevel"/>
    <w:tmpl w:val="AC9091A6"/>
    <w:lvl w:ilvl="0" w:tplc="617093BA">
      <w:start w:val="1"/>
      <w:numFmt w:val="decimal"/>
      <w:lvlText w:val="[%1]"/>
      <w:lvlJc w:val="left"/>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8"/>
  </w:num>
  <w:num w:numId="13">
    <w:abstractNumId w:val="16"/>
  </w:num>
  <w:num w:numId="14">
    <w:abstractNumId w:val="11"/>
  </w:num>
  <w:num w:numId="15">
    <w:abstractNumId w:val="21"/>
  </w:num>
  <w:num w:numId="16">
    <w:abstractNumId w:val="13"/>
  </w:num>
  <w:num w:numId="17">
    <w:abstractNumId w:val="12"/>
  </w:num>
  <w:num w:numId="18">
    <w:abstractNumId w:val="20"/>
  </w:num>
  <w:num w:numId="19">
    <w:abstractNumId w:val="10"/>
  </w:num>
  <w:num w:numId="20">
    <w:abstractNumId w:val="14"/>
  </w:num>
  <w:num w:numId="21">
    <w:abstractNumId w:val="19"/>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D" w:vendorID="64" w:dllVersion="4096" w:nlCheck="1" w:checkStyle="0"/>
  <w:activeWritingStyle w:appName="MSWord" w:lang="en-ID"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2"/>
  </w:compat>
  <w:rsids>
    <w:rsidRoot w:val="00A02FAE"/>
    <w:rsid w:val="00000852"/>
    <w:rsid w:val="00013BAD"/>
    <w:rsid w:val="000152C8"/>
    <w:rsid w:val="0003302D"/>
    <w:rsid w:val="0004018F"/>
    <w:rsid w:val="00044F5E"/>
    <w:rsid w:val="00047C3A"/>
    <w:rsid w:val="00076749"/>
    <w:rsid w:val="000B4818"/>
    <w:rsid w:val="000B5E42"/>
    <w:rsid w:val="000C0834"/>
    <w:rsid w:val="000D0C93"/>
    <w:rsid w:val="000F1D49"/>
    <w:rsid w:val="000F7216"/>
    <w:rsid w:val="0010346A"/>
    <w:rsid w:val="0011019E"/>
    <w:rsid w:val="00114FD7"/>
    <w:rsid w:val="00117B74"/>
    <w:rsid w:val="00122DB7"/>
    <w:rsid w:val="001369EE"/>
    <w:rsid w:val="00137524"/>
    <w:rsid w:val="00152720"/>
    <w:rsid w:val="00162B18"/>
    <w:rsid w:val="00165E82"/>
    <w:rsid w:val="0017062B"/>
    <w:rsid w:val="00171D98"/>
    <w:rsid w:val="001939A4"/>
    <w:rsid w:val="00196431"/>
    <w:rsid w:val="001A13B0"/>
    <w:rsid w:val="001A3095"/>
    <w:rsid w:val="001B01DF"/>
    <w:rsid w:val="001B197A"/>
    <w:rsid w:val="001B1FB4"/>
    <w:rsid w:val="001B7435"/>
    <w:rsid w:val="001C2C9B"/>
    <w:rsid w:val="001F2FA6"/>
    <w:rsid w:val="00205AC5"/>
    <w:rsid w:val="00205E6B"/>
    <w:rsid w:val="002070A1"/>
    <w:rsid w:val="00210814"/>
    <w:rsid w:val="00211168"/>
    <w:rsid w:val="00212523"/>
    <w:rsid w:val="0022112E"/>
    <w:rsid w:val="00222E43"/>
    <w:rsid w:val="00225C35"/>
    <w:rsid w:val="0023687F"/>
    <w:rsid w:val="00243A3A"/>
    <w:rsid w:val="002445C0"/>
    <w:rsid w:val="00245CC0"/>
    <w:rsid w:val="00273DD0"/>
    <w:rsid w:val="00294029"/>
    <w:rsid w:val="00295345"/>
    <w:rsid w:val="002A20C3"/>
    <w:rsid w:val="002B350C"/>
    <w:rsid w:val="002C4DFB"/>
    <w:rsid w:val="002D072A"/>
    <w:rsid w:val="002D3D10"/>
    <w:rsid w:val="002F52EB"/>
    <w:rsid w:val="003033C4"/>
    <w:rsid w:val="0030444B"/>
    <w:rsid w:val="00310680"/>
    <w:rsid w:val="003143A3"/>
    <w:rsid w:val="003165B8"/>
    <w:rsid w:val="00330CBA"/>
    <w:rsid w:val="00332669"/>
    <w:rsid w:val="00332F04"/>
    <w:rsid w:val="003331FD"/>
    <w:rsid w:val="00337246"/>
    <w:rsid w:val="00347CD1"/>
    <w:rsid w:val="003501D7"/>
    <w:rsid w:val="00355541"/>
    <w:rsid w:val="003608F8"/>
    <w:rsid w:val="00362F39"/>
    <w:rsid w:val="00366940"/>
    <w:rsid w:val="00373176"/>
    <w:rsid w:val="00375D49"/>
    <w:rsid w:val="00385D27"/>
    <w:rsid w:val="00391DE9"/>
    <w:rsid w:val="00395086"/>
    <w:rsid w:val="003A0972"/>
    <w:rsid w:val="003A20D4"/>
    <w:rsid w:val="003A7718"/>
    <w:rsid w:val="003C4C4D"/>
    <w:rsid w:val="003D132D"/>
    <w:rsid w:val="003D6A0E"/>
    <w:rsid w:val="003E062E"/>
    <w:rsid w:val="003E5AD4"/>
    <w:rsid w:val="003F2104"/>
    <w:rsid w:val="003F4F36"/>
    <w:rsid w:val="003F64BB"/>
    <w:rsid w:val="00414FD5"/>
    <w:rsid w:val="004214E8"/>
    <w:rsid w:val="00436D31"/>
    <w:rsid w:val="00450879"/>
    <w:rsid w:val="00453A28"/>
    <w:rsid w:val="004803B5"/>
    <w:rsid w:val="00480A2E"/>
    <w:rsid w:val="00483784"/>
    <w:rsid w:val="0048753F"/>
    <w:rsid w:val="00493A78"/>
    <w:rsid w:val="00494BF4"/>
    <w:rsid w:val="004A00CB"/>
    <w:rsid w:val="004A313F"/>
    <w:rsid w:val="004B2152"/>
    <w:rsid w:val="004B2DF5"/>
    <w:rsid w:val="004B5066"/>
    <w:rsid w:val="004B619A"/>
    <w:rsid w:val="004C15DB"/>
    <w:rsid w:val="004D140C"/>
    <w:rsid w:val="004F482F"/>
    <w:rsid w:val="004F4857"/>
    <w:rsid w:val="00506C0A"/>
    <w:rsid w:val="00521A70"/>
    <w:rsid w:val="00522FBB"/>
    <w:rsid w:val="005272E9"/>
    <w:rsid w:val="005515B6"/>
    <w:rsid w:val="005A25E3"/>
    <w:rsid w:val="005A2DB7"/>
    <w:rsid w:val="005A5EEF"/>
    <w:rsid w:val="005B47D8"/>
    <w:rsid w:val="005C24F9"/>
    <w:rsid w:val="005C39AD"/>
    <w:rsid w:val="005C43D7"/>
    <w:rsid w:val="005C4A7F"/>
    <w:rsid w:val="005D41DB"/>
    <w:rsid w:val="005D5F79"/>
    <w:rsid w:val="005E24D1"/>
    <w:rsid w:val="005E27B9"/>
    <w:rsid w:val="005F03B4"/>
    <w:rsid w:val="005F1A15"/>
    <w:rsid w:val="00601BAA"/>
    <w:rsid w:val="00615AC8"/>
    <w:rsid w:val="00617956"/>
    <w:rsid w:val="00625F8B"/>
    <w:rsid w:val="00626842"/>
    <w:rsid w:val="00650B8E"/>
    <w:rsid w:val="00650EC9"/>
    <w:rsid w:val="0065129D"/>
    <w:rsid w:val="00655236"/>
    <w:rsid w:val="00657890"/>
    <w:rsid w:val="0066422C"/>
    <w:rsid w:val="00681BFE"/>
    <w:rsid w:val="006A281F"/>
    <w:rsid w:val="006B74C3"/>
    <w:rsid w:val="006C2F74"/>
    <w:rsid w:val="006C359B"/>
    <w:rsid w:val="006C5E26"/>
    <w:rsid w:val="006C7338"/>
    <w:rsid w:val="006D1C0A"/>
    <w:rsid w:val="006D32AD"/>
    <w:rsid w:val="006E490A"/>
    <w:rsid w:val="006E69D0"/>
    <w:rsid w:val="006F5F3B"/>
    <w:rsid w:val="006F6C4A"/>
    <w:rsid w:val="006F792E"/>
    <w:rsid w:val="00721922"/>
    <w:rsid w:val="00750B0D"/>
    <w:rsid w:val="007513DA"/>
    <w:rsid w:val="00760873"/>
    <w:rsid w:val="007669A1"/>
    <w:rsid w:val="0078179A"/>
    <w:rsid w:val="0078195A"/>
    <w:rsid w:val="00784A66"/>
    <w:rsid w:val="007A5ED1"/>
    <w:rsid w:val="007B4370"/>
    <w:rsid w:val="007C0A35"/>
    <w:rsid w:val="007E5262"/>
    <w:rsid w:val="007F0AF5"/>
    <w:rsid w:val="00800E72"/>
    <w:rsid w:val="00806029"/>
    <w:rsid w:val="00810844"/>
    <w:rsid w:val="00814C46"/>
    <w:rsid w:val="00817ED8"/>
    <w:rsid w:val="0082416E"/>
    <w:rsid w:val="008310CA"/>
    <w:rsid w:val="0085362E"/>
    <w:rsid w:val="00853FCC"/>
    <w:rsid w:val="0085457C"/>
    <w:rsid w:val="00857A06"/>
    <w:rsid w:val="00857B46"/>
    <w:rsid w:val="0086013E"/>
    <w:rsid w:val="008638AD"/>
    <w:rsid w:val="008644E5"/>
    <w:rsid w:val="00866171"/>
    <w:rsid w:val="00872635"/>
    <w:rsid w:val="008814FF"/>
    <w:rsid w:val="00886984"/>
    <w:rsid w:val="00897772"/>
    <w:rsid w:val="008A3D3C"/>
    <w:rsid w:val="008A5BC9"/>
    <w:rsid w:val="008B0A26"/>
    <w:rsid w:val="008B7FF8"/>
    <w:rsid w:val="008C0BDE"/>
    <w:rsid w:val="008C3A95"/>
    <w:rsid w:val="008D6B38"/>
    <w:rsid w:val="008E20F8"/>
    <w:rsid w:val="008F5BA6"/>
    <w:rsid w:val="009016F4"/>
    <w:rsid w:val="00933CDD"/>
    <w:rsid w:val="00935719"/>
    <w:rsid w:val="009406AF"/>
    <w:rsid w:val="00945F89"/>
    <w:rsid w:val="00952427"/>
    <w:rsid w:val="0095478A"/>
    <w:rsid w:val="00960FD5"/>
    <w:rsid w:val="00961761"/>
    <w:rsid w:val="00963F92"/>
    <w:rsid w:val="00964F12"/>
    <w:rsid w:val="009712E3"/>
    <w:rsid w:val="0097187F"/>
    <w:rsid w:val="009967A9"/>
    <w:rsid w:val="009A169E"/>
    <w:rsid w:val="009B4A8C"/>
    <w:rsid w:val="009E1A67"/>
    <w:rsid w:val="009F275D"/>
    <w:rsid w:val="009F527B"/>
    <w:rsid w:val="00A02FAE"/>
    <w:rsid w:val="00A03E81"/>
    <w:rsid w:val="00A044D5"/>
    <w:rsid w:val="00A04C43"/>
    <w:rsid w:val="00A4170A"/>
    <w:rsid w:val="00A5023A"/>
    <w:rsid w:val="00A50829"/>
    <w:rsid w:val="00A65257"/>
    <w:rsid w:val="00A6659B"/>
    <w:rsid w:val="00A924F8"/>
    <w:rsid w:val="00AB1F5B"/>
    <w:rsid w:val="00AB277B"/>
    <w:rsid w:val="00AD246C"/>
    <w:rsid w:val="00B31F4F"/>
    <w:rsid w:val="00B33B45"/>
    <w:rsid w:val="00B36CB7"/>
    <w:rsid w:val="00B374DC"/>
    <w:rsid w:val="00B41460"/>
    <w:rsid w:val="00B620E6"/>
    <w:rsid w:val="00B6334F"/>
    <w:rsid w:val="00B65CB4"/>
    <w:rsid w:val="00B764CB"/>
    <w:rsid w:val="00BB5339"/>
    <w:rsid w:val="00BC1D18"/>
    <w:rsid w:val="00BE5DA6"/>
    <w:rsid w:val="00BF2008"/>
    <w:rsid w:val="00BF4408"/>
    <w:rsid w:val="00BF481C"/>
    <w:rsid w:val="00C0081B"/>
    <w:rsid w:val="00C13BF8"/>
    <w:rsid w:val="00C4441E"/>
    <w:rsid w:val="00C46875"/>
    <w:rsid w:val="00C47DB2"/>
    <w:rsid w:val="00C53CB2"/>
    <w:rsid w:val="00C60965"/>
    <w:rsid w:val="00C61279"/>
    <w:rsid w:val="00C649C6"/>
    <w:rsid w:val="00C76264"/>
    <w:rsid w:val="00C81752"/>
    <w:rsid w:val="00C84AEE"/>
    <w:rsid w:val="00C877CF"/>
    <w:rsid w:val="00C90F6D"/>
    <w:rsid w:val="00CB7576"/>
    <w:rsid w:val="00CB7DB9"/>
    <w:rsid w:val="00CC2786"/>
    <w:rsid w:val="00CC59AC"/>
    <w:rsid w:val="00CC7713"/>
    <w:rsid w:val="00CD45E0"/>
    <w:rsid w:val="00CE38CA"/>
    <w:rsid w:val="00CE57CF"/>
    <w:rsid w:val="00D01CD6"/>
    <w:rsid w:val="00D030F6"/>
    <w:rsid w:val="00D20AF5"/>
    <w:rsid w:val="00D21DD8"/>
    <w:rsid w:val="00D22446"/>
    <w:rsid w:val="00D22C21"/>
    <w:rsid w:val="00D30CE7"/>
    <w:rsid w:val="00D3310A"/>
    <w:rsid w:val="00D34280"/>
    <w:rsid w:val="00D34333"/>
    <w:rsid w:val="00D3518C"/>
    <w:rsid w:val="00D61255"/>
    <w:rsid w:val="00D65040"/>
    <w:rsid w:val="00D65262"/>
    <w:rsid w:val="00D6607A"/>
    <w:rsid w:val="00D72B5F"/>
    <w:rsid w:val="00D87F65"/>
    <w:rsid w:val="00D90500"/>
    <w:rsid w:val="00D912B6"/>
    <w:rsid w:val="00D9486C"/>
    <w:rsid w:val="00DA1DFB"/>
    <w:rsid w:val="00DA3D62"/>
    <w:rsid w:val="00DB2BDD"/>
    <w:rsid w:val="00DB78E1"/>
    <w:rsid w:val="00DC23DD"/>
    <w:rsid w:val="00DC2AD8"/>
    <w:rsid w:val="00DC6CBC"/>
    <w:rsid w:val="00DE045F"/>
    <w:rsid w:val="00DE3912"/>
    <w:rsid w:val="00E00E14"/>
    <w:rsid w:val="00E14C66"/>
    <w:rsid w:val="00E16117"/>
    <w:rsid w:val="00E16CF1"/>
    <w:rsid w:val="00E40349"/>
    <w:rsid w:val="00E4236D"/>
    <w:rsid w:val="00E42D59"/>
    <w:rsid w:val="00E57FEE"/>
    <w:rsid w:val="00E610DA"/>
    <w:rsid w:val="00E73CB5"/>
    <w:rsid w:val="00E95038"/>
    <w:rsid w:val="00EA0168"/>
    <w:rsid w:val="00EA321F"/>
    <w:rsid w:val="00EA3F4B"/>
    <w:rsid w:val="00EB6B96"/>
    <w:rsid w:val="00EC24EC"/>
    <w:rsid w:val="00EF19B5"/>
    <w:rsid w:val="00EF2498"/>
    <w:rsid w:val="00EF4C2F"/>
    <w:rsid w:val="00F047E7"/>
    <w:rsid w:val="00F04F13"/>
    <w:rsid w:val="00F05306"/>
    <w:rsid w:val="00F20511"/>
    <w:rsid w:val="00F21798"/>
    <w:rsid w:val="00F25D95"/>
    <w:rsid w:val="00F3399F"/>
    <w:rsid w:val="00F36F2C"/>
    <w:rsid w:val="00F73445"/>
    <w:rsid w:val="00F7506D"/>
    <w:rsid w:val="00F8397B"/>
    <w:rsid w:val="00F85834"/>
    <w:rsid w:val="00F93A39"/>
    <w:rsid w:val="00F95062"/>
    <w:rsid w:val="00F969F7"/>
    <w:rsid w:val="00FD19CA"/>
    <w:rsid w:val="00FD3975"/>
    <w:rsid w:val="00FD4DF7"/>
    <w:rsid w:val="00FE3273"/>
    <w:rsid w:val="00FF12B5"/>
    <w:rsid w:val="00FF5B8D"/>
    <w:rsid w:val="00FF6C4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B028593-C94F-4574-A75C-3E3359B0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4D5"/>
    <w:rPr>
      <w:rFonts w:ascii="Sabon" w:hAnsi="Sabon"/>
      <w:sz w:val="22"/>
      <w:lang w:eastAsia="en-US"/>
    </w:rPr>
  </w:style>
  <w:style w:type="paragraph" w:styleId="Heading1">
    <w:name w:val="heading 1"/>
    <w:basedOn w:val="Normal"/>
    <w:next w:val="Normal"/>
    <w:qFormat/>
    <w:rsid w:val="00A044D5"/>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A044D5"/>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A044D5"/>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A044D5"/>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A044D5"/>
    <w:pPr>
      <w:numPr>
        <w:ilvl w:val="4"/>
        <w:numId w:val="13"/>
      </w:numPr>
      <w:spacing w:before="240" w:after="60"/>
      <w:outlineLvl w:val="4"/>
    </w:pPr>
    <w:rPr>
      <w:b/>
      <w:bCs/>
      <w:i/>
      <w:iCs/>
      <w:sz w:val="26"/>
      <w:szCs w:val="26"/>
    </w:rPr>
  </w:style>
  <w:style w:type="paragraph" w:styleId="Heading6">
    <w:name w:val="heading 6"/>
    <w:basedOn w:val="Normal"/>
    <w:next w:val="Normal"/>
    <w:qFormat/>
    <w:rsid w:val="00A044D5"/>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A044D5"/>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A044D5"/>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A044D5"/>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A044D5"/>
  </w:style>
  <w:style w:type="paragraph" w:customStyle="1" w:styleId="wfxFaxNum">
    <w:name w:val="wfxFaxNum"/>
    <w:basedOn w:val="Normal"/>
    <w:semiHidden/>
    <w:rsid w:val="00A044D5"/>
  </w:style>
  <w:style w:type="paragraph" w:customStyle="1" w:styleId="wfxDate">
    <w:name w:val="wfxDate"/>
    <w:basedOn w:val="Normal"/>
    <w:semiHidden/>
    <w:rsid w:val="00A044D5"/>
  </w:style>
  <w:style w:type="paragraph" w:customStyle="1" w:styleId="wfxTime">
    <w:name w:val="wfxTime"/>
    <w:basedOn w:val="Normal"/>
    <w:semiHidden/>
    <w:rsid w:val="00A044D5"/>
  </w:style>
  <w:style w:type="paragraph" w:styleId="FootnoteText">
    <w:name w:val="footnote text"/>
    <w:basedOn w:val="Normal"/>
    <w:semiHidden/>
    <w:rsid w:val="00A044D5"/>
    <w:rPr>
      <w:rFonts w:ascii="Times" w:hAnsi="Times"/>
      <w:sz w:val="20"/>
    </w:rPr>
  </w:style>
  <w:style w:type="character" w:styleId="FootnoteReference">
    <w:name w:val="footnote reference"/>
    <w:semiHidden/>
    <w:rsid w:val="00A044D5"/>
    <w:rPr>
      <w:rFonts w:ascii="Times New Roman" w:hAnsi="Times New Roman"/>
      <w:sz w:val="22"/>
      <w:szCs w:val="22"/>
      <w:vertAlign w:val="superscript"/>
    </w:rPr>
  </w:style>
  <w:style w:type="table" w:styleId="TableGrid">
    <w:name w:val="Table Grid"/>
    <w:basedOn w:val="TableNormal"/>
    <w:uiPriority w:val="39"/>
    <w:rsid w:val="00A04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A044D5"/>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rsid w:val="00A044D5"/>
    <w:pPr>
      <w:numPr>
        <w:numId w:val="16"/>
      </w:numPr>
      <w:jc w:val="both"/>
    </w:pPr>
    <w:rPr>
      <w:rFonts w:ascii="Times" w:hAnsi="Times"/>
      <w:color w:val="000000"/>
      <w:sz w:val="22"/>
      <w:szCs w:val="22"/>
      <w:lang w:eastAsia="en-US"/>
    </w:rPr>
  </w:style>
  <w:style w:type="numbering" w:styleId="1ai">
    <w:name w:val="Outline List 1"/>
    <w:basedOn w:val="NoList"/>
    <w:semiHidden/>
    <w:rsid w:val="00A044D5"/>
    <w:pPr>
      <w:numPr>
        <w:numId w:val="12"/>
      </w:numPr>
    </w:pPr>
  </w:style>
  <w:style w:type="paragraph" w:styleId="EndnoteText">
    <w:name w:val="endnote text"/>
    <w:basedOn w:val="Normal"/>
    <w:semiHidden/>
    <w:rsid w:val="00A044D5"/>
    <w:rPr>
      <w:sz w:val="20"/>
    </w:rPr>
  </w:style>
  <w:style w:type="character" w:styleId="EndnoteReference">
    <w:name w:val="endnote reference"/>
    <w:semiHidden/>
    <w:rsid w:val="00A044D5"/>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rsid w:val="00A044D5"/>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sid w:val="00A044D5"/>
    <w:rPr>
      <w:i/>
      <w:iCs/>
      <w:color w:val="000000"/>
      <w:sz w:val="22"/>
      <w:szCs w:val="22"/>
      <w:lang w:eastAsia="en-US"/>
    </w:rPr>
  </w:style>
  <w:style w:type="character" w:customStyle="1" w:styleId="StyleBodyCharNotBoldItalicChar">
    <w:name w:val="Style Body Char + Not Bold Italic Char"/>
    <w:link w:val="StyleBodyCharNotBoldItalic"/>
    <w:rsid w:val="00A044D5"/>
    <w:rPr>
      <w:i/>
      <w:iCs/>
      <w:color w:val="000000"/>
      <w:sz w:val="22"/>
      <w:szCs w:val="22"/>
      <w:lang w:val="en-GB" w:eastAsia="en-US" w:bidi="ar-SA"/>
    </w:rPr>
  </w:style>
  <w:style w:type="character" w:customStyle="1" w:styleId="MTEquationSection">
    <w:name w:val="MTEquationSection"/>
    <w:semiHidden/>
    <w:rsid w:val="00A044D5"/>
    <w:rPr>
      <w:vanish/>
      <w:color w:val="FF0000"/>
      <w:lang w:val="en-US"/>
    </w:rPr>
  </w:style>
  <w:style w:type="paragraph" w:customStyle="1" w:styleId="MTDisplayEquation">
    <w:name w:val="MTDisplayEquation"/>
    <w:basedOn w:val="Normal"/>
    <w:semiHidden/>
    <w:rsid w:val="00A044D5"/>
    <w:pPr>
      <w:tabs>
        <w:tab w:val="center" w:pos="4560"/>
        <w:tab w:val="right" w:pos="9120"/>
      </w:tabs>
    </w:pPr>
    <w:rPr>
      <w:lang w:val="en-US"/>
    </w:rPr>
  </w:style>
  <w:style w:type="character" w:customStyle="1" w:styleId="times">
    <w:name w:val="times"/>
    <w:basedOn w:val="DefaultParagraphFont"/>
    <w:semiHidden/>
    <w:rsid w:val="00A044D5"/>
  </w:style>
  <w:style w:type="paragraph" w:styleId="NormalWeb">
    <w:name w:val="Normal (Web)"/>
    <w:basedOn w:val="Normal"/>
    <w:semiHidden/>
    <w:rsid w:val="00A044D5"/>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A044D5"/>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A044D5"/>
    <w:pPr>
      <w:numPr>
        <w:numId w:val="18"/>
      </w:numPr>
      <w:tabs>
        <w:tab w:val="left" w:pos="567"/>
      </w:tabs>
      <w:spacing w:before="240"/>
    </w:pPr>
    <w:rPr>
      <w:rFonts w:ascii="Times" w:hAnsi="Times"/>
      <w:b/>
      <w:color w:val="000000"/>
      <w:sz w:val="22"/>
      <w:szCs w:val="22"/>
      <w:lang w:eastAsia="en-US"/>
    </w:rPr>
  </w:style>
  <w:style w:type="numbering" w:styleId="ArticleSection">
    <w:name w:val="Outline List 3"/>
    <w:basedOn w:val="NoList"/>
    <w:semiHidden/>
    <w:rsid w:val="00A044D5"/>
    <w:pPr>
      <w:numPr>
        <w:numId w:val="13"/>
      </w:numPr>
    </w:pPr>
  </w:style>
  <w:style w:type="paragraph" w:styleId="BlockText">
    <w:name w:val="Block Text"/>
    <w:basedOn w:val="Normal"/>
    <w:semiHidden/>
    <w:rsid w:val="00A044D5"/>
    <w:pPr>
      <w:spacing w:after="120"/>
      <w:ind w:left="1440" w:right="1440"/>
    </w:pPr>
  </w:style>
  <w:style w:type="paragraph" w:styleId="BodyText">
    <w:name w:val="Body Text"/>
    <w:basedOn w:val="Normal"/>
    <w:semiHidden/>
    <w:rsid w:val="00A044D5"/>
    <w:pPr>
      <w:spacing w:after="120"/>
    </w:pPr>
  </w:style>
  <w:style w:type="paragraph" w:styleId="BodyText2">
    <w:name w:val="Body Text 2"/>
    <w:basedOn w:val="Normal"/>
    <w:semiHidden/>
    <w:rsid w:val="00A044D5"/>
    <w:pPr>
      <w:spacing w:after="120" w:line="480" w:lineRule="auto"/>
    </w:pPr>
  </w:style>
  <w:style w:type="paragraph" w:styleId="BodyText3">
    <w:name w:val="Body Text 3"/>
    <w:basedOn w:val="Normal"/>
    <w:semiHidden/>
    <w:rsid w:val="00A044D5"/>
    <w:pPr>
      <w:spacing w:after="120"/>
    </w:pPr>
    <w:rPr>
      <w:sz w:val="16"/>
      <w:szCs w:val="16"/>
    </w:rPr>
  </w:style>
  <w:style w:type="paragraph" w:styleId="BodyTextFirstIndent">
    <w:name w:val="Body Text First Indent"/>
    <w:basedOn w:val="BodyText"/>
    <w:semiHidden/>
    <w:rsid w:val="00A044D5"/>
    <w:pPr>
      <w:ind w:firstLine="210"/>
    </w:pPr>
  </w:style>
  <w:style w:type="paragraph" w:styleId="BodyTextIndent">
    <w:name w:val="Body Text Indent"/>
    <w:basedOn w:val="Normal"/>
    <w:semiHidden/>
    <w:rsid w:val="00A044D5"/>
    <w:pPr>
      <w:spacing w:after="120"/>
      <w:ind w:left="283"/>
    </w:pPr>
  </w:style>
  <w:style w:type="paragraph" w:styleId="BodyTextFirstIndent2">
    <w:name w:val="Body Text First Indent 2"/>
    <w:basedOn w:val="BodyTextIndent"/>
    <w:semiHidden/>
    <w:rsid w:val="00A044D5"/>
    <w:pPr>
      <w:ind w:firstLine="210"/>
    </w:pPr>
  </w:style>
  <w:style w:type="paragraph" w:styleId="BodyTextIndent2">
    <w:name w:val="Body Text Indent 2"/>
    <w:basedOn w:val="Normal"/>
    <w:semiHidden/>
    <w:rsid w:val="00A044D5"/>
    <w:pPr>
      <w:spacing w:after="120" w:line="480" w:lineRule="auto"/>
      <w:ind w:left="283"/>
    </w:pPr>
  </w:style>
  <w:style w:type="paragraph" w:styleId="BodyTextIndent3">
    <w:name w:val="Body Text Indent 3"/>
    <w:basedOn w:val="Normal"/>
    <w:semiHidden/>
    <w:rsid w:val="00A044D5"/>
    <w:pPr>
      <w:spacing w:after="120"/>
      <w:ind w:left="283"/>
    </w:pPr>
    <w:rPr>
      <w:sz w:val="16"/>
      <w:szCs w:val="16"/>
    </w:rPr>
  </w:style>
  <w:style w:type="paragraph" w:styleId="Closing">
    <w:name w:val="Closing"/>
    <w:basedOn w:val="Normal"/>
    <w:semiHidden/>
    <w:rsid w:val="00A044D5"/>
    <w:pPr>
      <w:ind w:left="4252"/>
    </w:pPr>
  </w:style>
  <w:style w:type="paragraph" w:styleId="Date">
    <w:name w:val="Date"/>
    <w:basedOn w:val="Normal"/>
    <w:next w:val="Normal"/>
    <w:semiHidden/>
    <w:rsid w:val="00A044D5"/>
  </w:style>
  <w:style w:type="paragraph" w:styleId="E-mailSignature">
    <w:name w:val="E-mail Signature"/>
    <w:basedOn w:val="Normal"/>
    <w:semiHidden/>
    <w:rsid w:val="00A044D5"/>
  </w:style>
  <w:style w:type="character" w:styleId="Emphasis">
    <w:name w:val="Emphasis"/>
    <w:qFormat/>
    <w:rsid w:val="00A044D5"/>
    <w:rPr>
      <w:i/>
      <w:iCs/>
    </w:rPr>
  </w:style>
  <w:style w:type="paragraph" w:styleId="EnvelopeAddress">
    <w:name w:val="envelope address"/>
    <w:basedOn w:val="Normal"/>
    <w:semiHidden/>
    <w:rsid w:val="00A044D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A044D5"/>
    <w:rPr>
      <w:rFonts w:ascii="Arial" w:hAnsi="Arial" w:cs="Arial"/>
      <w:sz w:val="20"/>
    </w:rPr>
  </w:style>
  <w:style w:type="character" w:styleId="FollowedHyperlink">
    <w:name w:val="FollowedHyperlink"/>
    <w:semiHidden/>
    <w:rsid w:val="00A044D5"/>
    <w:rPr>
      <w:color w:val="800080"/>
      <w:u w:val="single"/>
    </w:rPr>
  </w:style>
  <w:style w:type="paragraph" w:styleId="Footer">
    <w:name w:val="footer"/>
    <w:basedOn w:val="Normal"/>
    <w:link w:val="FooterChar"/>
    <w:uiPriority w:val="99"/>
    <w:semiHidden/>
    <w:rsid w:val="00A044D5"/>
    <w:pPr>
      <w:tabs>
        <w:tab w:val="center" w:pos="4320"/>
        <w:tab w:val="right" w:pos="8640"/>
      </w:tabs>
    </w:pPr>
  </w:style>
  <w:style w:type="paragraph" w:styleId="Header">
    <w:name w:val="header"/>
    <w:basedOn w:val="Normal"/>
    <w:link w:val="HeaderChar"/>
    <w:uiPriority w:val="99"/>
    <w:semiHidden/>
    <w:rsid w:val="00A044D5"/>
    <w:pPr>
      <w:tabs>
        <w:tab w:val="center" w:pos="4320"/>
        <w:tab w:val="right" w:pos="8640"/>
      </w:tabs>
    </w:pPr>
  </w:style>
  <w:style w:type="character" w:styleId="HTMLAcronym">
    <w:name w:val="HTML Acronym"/>
    <w:basedOn w:val="DefaultParagraphFont"/>
    <w:semiHidden/>
    <w:rsid w:val="00A044D5"/>
  </w:style>
  <w:style w:type="paragraph" w:styleId="HTMLAddress">
    <w:name w:val="HTML Address"/>
    <w:basedOn w:val="Normal"/>
    <w:semiHidden/>
    <w:rsid w:val="00A044D5"/>
    <w:rPr>
      <w:i/>
      <w:iCs/>
    </w:rPr>
  </w:style>
  <w:style w:type="character" w:styleId="HTMLCite">
    <w:name w:val="HTML Cite"/>
    <w:semiHidden/>
    <w:rsid w:val="00A044D5"/>
    <w:rPr>
      <w:i/>
      <w:iCs/>
    </w:rPr>
  </w:style>
  <w:style w:type="character" w:styleId="HTMLCode">
    <w:name w:val="HTML Code"/>
    <w:semiHidden/>
    <w:rsid w:val="00A044D5"/>
    <w:rPr>
      <w:rFonts w:ascii="Courier New" w:hAnsi="Courier New" w:cs="Courier New"/>
      <w:sz w:val="20"/>
      <w:szCs w:val="20"/>
    </w:rPr>
  </w:style>
  <w:style w:type="character" w:styleId="HTMLDefinition">
    <w:name w:val="HTML Definition"/>
    <w:semiHidden/>
    <w:rsid w:val="00A044D5"/>
    <w:rPr>
      <w:i/>
      <w:iCs/>
    </w:rPr>
  </w:style>
  <w:style w:type="character" w:styleId="HTMLKeyboard">
    <w:name w:val="HTML Keyboard"/>
    <w:semiHidden/>
    <w:rsid w:val="00A044D5"/>
    <w:rPr>
      <w:rFonts w:ascii="Courier New" w:hAnsi="Courier New" w:cs="Courier New"/>
      <w:sz w:val="20"/>
      <w:szCs w:val="20"/>
    </w:rPr>
  </w:style>
  <w:style w:type="paragraph" w:styleId="HTMLPreformatted">
    <w:name w:val="HTML Preformatted"/>
    <w:basedOn w:val="Normal"/>
    <w:link w:val="HTMLPreformattedChar"/>
    <w:uiPriority w:val="99"/>
    <w:rsid w:val="00A044D5"/>
    <w:rPr>
      <w:rFonts w:ascii="Courier New" w:hAnsi="Courier New" w:cs="Courier New"/>
      <w:sz w:val="20"/>
    </w:rPr>
  </w:style>
  <w:style w:type="character" w:styleId="HTMLSample">
    <w:name w:val="HTML Sample"/>
    <w:semiHidden/>
    <w:rsid w:val="00A044D5"/>
    <w:rPr>
      <w:rFonts w:ascii="Courier New" w:hAnsi="Courier New" w:cs="Courier New"/>
    </w:rPr>
  </w:style>
  <w:style w:type="character" w:styleId="HTMLTypewriter">
    <w:name w:val="HTML Typewriter"/>
    <w:semiHidden/>
    <w:rsid w:val="00A044D5"/>
    <w:rPr>
      <w:rFonts w:ascii="Courier New" w:hAnsi="Courier New" w:cs="Courier New"/>
      <w:sz w:val="20"/>
      <w:szCs w:val="20"/>
    </w:rPr>
  </w:style>
  <w:style w:type="character" w:styleId="HTMLVariable">
    <w:name w:val="HTML Variable"/>
    <w:semiHidden/>
    <w:rsid w:val="00A044D5"/>
    <w:rPr>
      <w:i/>
      <w:iCs/>
    </w:rPr>
  </w:style>
  <w:style w:type="character" w:styleId="Hyperlink">
    <w:name w:val="Hyperlink"/>
    <w:semiHidden/>
    <w:rsid w:val="00A044D5"/>
    <w:rPr>
      <w:color w:val="0000FF"/>
      <w:u w:val="single"/>
    </w:rPr>
  </w:style>
  <w:style w:type="character" w:styleId="LineNumber">
    <w:name w:val="line number"/>
    <w:basedOn w:val="DefaultParagraphFont"/>
    <w:semiHidden/>
    <w:rsid w:val="00A044D5"/>
  </w:style>
  <w:style w:type="paragraph" w:styleId="List">
    <w:name w:val="List"/>
    <w:basedOn w:val="Normal"/>
    <w:semiHidden/>
    <w:rsid w:val="00A044D5"/>
    <w:pPr>
      <w:ind w:left="283" w:hanging="283"/>
    </w:pPr>
  </w:style>
  <w:style w:type="paragraph" w:styleId="List2">
    <w:name w:val="List 2"/>
    <w:basedOn w:val="Normal"/>
    <w:semiHidden/>
    <w:rsid w:val="00A044D5"/>
    <w:pPr>
      <w:ind w:left="566" w:hanging="283"/>
    </w:pPr>
  </w:style>
  <w:style w:type="paragraph" w:styleId="List3">
    <w:name w:val="List 3"/>
    <w:basedOn w:val="Normal"/>
    <w:semiHidden/>
    <w:rsid w:val="00A044D5"/>
    <w:pPr>
      <w:ind w:left="849" w:hanging="283"/>
    </w:pPr>
  </w:style>
  <w:style w:type="paragraph" w:styleId="List4">
    <w:name w:val="List 4"/>
    <w:basedOn w:val="Normal"/>
    <w:semiHidden/>
    <w:rsid w:val="00A044D5"/>
    <w:pPr>
      <w:ind w:left="1132" w:hanging="283"/>
    </w:pPr>
  </w:style>
  <w:style w:type="paragraph" w:styleId="List5">
    <w:name w:val="List 5"/>
    <w:basedOn w:val="Normal"/>
    <w:semiHidden/>
    <w:rsid w:val="00A044D5"/>
    <w:pPr>
      <w:ind w:left="1415" w:hanging="283"/>
    </w:pPr>
  </w:style>
  <w:style w:type="paragraph" w:styleId="ListBullet">
    <w:name w:val="List Bullet"/>
    <w:basedOn w:val="Normal"/>
    <w:autoRedefine/>
    <w:semiHidden/>
    <w:rsid w:val="00A044D5"/>
    <w:pPr>
      <w:numPr>
        <w:numId w:val="1"/>
      </w:numPr>
    </w:pPr>
  </w:style>
  <w:style w:type="paragraph" w:styleId="ListBullet2">
    <w:name w:val="List Bullet 2"/>
    <w:basedOn w:val="Normal"/>
    <w:autoRedefine/>
    <w:semiHidden/>
    <w:rsid w:val="00A044D5"/>
    <w:pPr>
      <w:numPr>
        <w:numId w:val="2"/>
      </w:numPr>
    </w:pPr>
  </w:style>
  <w:style w:type="paragraph" w:styleId="ListBullet3">
    <w:name w:val="List Bullet 3"/>
    <w:basedOn w:val="Normal"/>
    <w:autoRedefine/>
    <w:semiHidden/>
    <w:rsid w:val="00A044D5"/>
    <w:pPr>
      <w:numPr>
        <w:numId w:val="3"/>
      </w:numPr>
    </w:pPr>
  </w:style>
  <w:style w:type="paragraph" w:styleId="ListBullet4">
    <w:name w:val="List Bullet 4"/>
    <w:basedOn w:val="Normal"/>
    <w:autoRedefine/>
    <w:semiHidden/>
    <w:rsid w:val="00A044D5"/>
    <w:pPr>
      <w:numPr>
        <w:numId w:val="4"/>
      </w:numPr>
    </w:pPr>
  </w:style>
  <w:style w:type="paragraph" w:styleId="ListBullet5">
    <w:name w:val="List Bullet 5"/>
    <w:basedOn w:val="Normal"/>
    <w:autoRedefine/>
    <w:semiHidden/>
    <w:rsid w:val="00A044D5"/>
    <w:pPr>
      <w:numPr>
        <w:numId w:val="5"/>
      </w:numPr>
    </w:pPr>
  </w:style>
  <w:style w:type="paragraph" w:styleId="ListContinue">
    <w:name w:val="List Continue"/>
    <w:basedOn w:val="Normal"/>
    <w:semiHidden/>
    <w:rsid w:val="00A044D5"/>
    <w:pPr>
      <w:spacing w:after="120"/>
      <w:ind w:left="283"/>
    </w:pPr>
  </w:style>
  <w:style w:type="paragraph" w:styleId="ListContinue2">
    <w:name w:val="List Continue 2"/>
    <w:basedOn w:val="Normal"/>
    <w:semiHidden/>
    <w:rsid w:val="00A044D5"/>
    <w:pPr>
      <w:spacing w:after="120"/>
      <w:ind w:left="566"/>
    </w:pPr>
  </w:style>
  <w:style w:type="paragraph" w:styleId="ListContinue3">
    <w:name w:val="List Continue 3"/>
    <w:basedOn w:val="Normal"/>
    <w:semiHidden/>
    <w:rsid w:val="00A044D5"/>
    <w:pPr>
      <w:spacing w:after="120"/>
      <w:ind w:left="849"/>
    </w:pPr>
  </w:style>
  <w:style w:type="paragraph" w:styleId="ListContinue4">
    <w:name w:val="List Continue 4"/>
    <w:basedOn w:val="Normal"/>
    <w:semiHidden/>
    <w:rsid w:val="00A044D5"/>
    <w:pPr>
      <w:spacing w:after="120"/>
      <w:ind w:left="1132"/>
    </w:pPr>
  </w:style>
  <w:style w:type="paragraph" w:styleId="ListContinue5">
    <w:name w:val="List Continue 5"/>
    <w:basedOn w:val="Normal"/>
    <w:semiHidden/>
    <w:rsid w:val="00A044D5"/>
    <w:pPr>
      <w:spacing w:after="120"/>
      <w:ind w:left="1415"/>
    </w:pPr>
  </w:style>
  <w:style w:type="paragraph" w:styleId="ListNumber">
    <w:name w:val="List Number"/>
    <w:basedOn w:val="Normal"/>
    <w:semiHidden/>
    <w:rsid w:val="00A044D5"/>
    <w:pPr>
      <w:numPr>
        <w:numId w:val="6"/>
      </w:numPr>
    </w:pPr>
  </w:style>
  <w:style w:type="paragraph" w:styleId="ListNumber2">
    <w:name w:val="List Number 2"/>
    <w:basedOn w:val="Normal"/>
    <w:semiHidden/>
    <w:rsid w:val="00A044D5"/>
    <w:pPr>
      <w:numPr>
        <w:numId w:val="7"/>
      </w:numPr>
    </w:pPr>
  </w:style>
  <w:style w:type="paragraph" w:styleId="ListNumber3">
    <w:name w:val="List Number 3"/>
    <w:basedOn w:val="Normal"/>
    <w:semiHidden/>
    <w:rsid w:val="00A044D5"/>
    <w:pPr>
      <w:numPr>
        <w:numId w:val="8"/>
      </w:numPr>
    </w:pPr>
  </w:style>
  <w:style w:type="paragraph" w:styleId="ListNumber4">
    <w:name w:val="List Number 4"/>
    <w:basedOn w:val="Normal"/>
    <w:semiHidden/>
    <w:rsid w:val="00A044D5"/>
    <w:pPr>
      <w:numPr>
        <w:numId w:val="9"/>
      </w:numPr>
    </w:pPr>
  </w:style>
  <w:style w:type="paragraph" w:styleId="ListNumber5">
    <w:name w:val="List Number 5"/>
    <w:basedOn w:val="Normal"/>
    <w:semiHidden/>
    <w:rsid w:val="00A044D5"/>
    <w:pPr>
      <w:numPr>
        <w:numId w:val="10"/>
      </w:numPr>
    </w:pPr>
  </w:style>
  <w:style w:type="paragraph" w:styleId="MessageHeader">
    <w:name w:val="Message Header"/>
    <w:basedOn w:val="Normal"/>
    <w:semiHidden/>
    <w:rsid w:val="00A044D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A044D5"/>
    <w:pPr>
      <w:ind w:left="720"/>
    </w:pPr>
  </w:style>
  <w:style w:type="paragraph" w:styleId="NoteHeading">
    <w:name w:val="Note Heading"/>
    <w:basedOn w:val="Normal"/>
    <w:next w:val="Normal"/>
    <w:semiHidden/>
    <w:rsid w:val="00A044D5"/>
  </w:style>
  <w:style w:type="character" w:styleId="PageNumber">
    <w:name w:val="page number"/>
    <w:basedOn w:val="DefaultParagraphFont"/>
    <w:semiHidden/>
    <w:rsid w:val="00A044D5"/>
  </w:style>
  <w:style w:type="paragraph" w:styleId="PlainText">
    <w:name w:val="Plain Text"/>
    <w:basedOn w:val="Normal"/>
    <w:semiHidden/>
    <w:rsid w:val="00A044D5"/>
    <w:rPr>
      <w:rFonts w:ascii="Courier New" w:hAnsi="Courier New" w:cs="Courier New"/>
      <w:sz w:val="20"/>
    </w:rPr>
  </w:style>
  <w:style w:type="paragraph" w:styleId="Salutation">
    <w:name w:val="Salutation"/>
    <w:basedOn w:val="Normal"/>
    <w:next w:val="Normal"/>
    <w:semiHidden/>
    <w:rsid w:val="00A044D5"/>
  </w:style>
  <w:style w:type="paragraph" w:styleId="Signature">
    <w:name w:val="Signature"/>
    <w:basedOn w:val="Normal"/>
    <w:semiHidden/>
    <w:rsid w:val="00A044D5"/>
    <w:pPr>
      <w:ind w:left="4252"/>
    </w:pPr>
  </w:style>
  <w:style w:type="character" w:styleId="Strong">
    <w:name w:val="Strong"/>
    <w:qFormat/>
    <w:rsid w:val="00A044D5"/>
    <w:rPr>
      <w:b/>
      <w:bCs/>
    </w:rPr>
  </w:style>
  <w:style w:type="paragraph" w:styleId="Subtitle">
    <w:name w:val="Subtitle"/>
    <w:basedOn w:val="Normal"/>
    <w:qFormat/>
    <w:rsid w:val="00A044D5"/>
    <w:pPr>
      <w:spacing w:after="60"/>
      <w:jc w:val="center"/>
      <w:outlineLvl w:val="1"/>
    </w:pPr>
    <w:rPr>
      <w:rFonts w:ascii="Arial" w:hAnsi="Arial" w:cs="Arial"/>
      <w:sz w:val="24"/>
      <w:szCs w:val="24"/>
    </w:rPr>
  </w:style>
  <w:style w:type="table" w:styleId="Table3Deffects1">
    <w:name w:val="Table 3D effects 1"/>
    <w:basedOn w:val="TableNormal"/>
    <w:semiHidden/>
    <w:rsid w:val="00A044D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044D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044D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044D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044D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044D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044D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044D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044D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044D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044D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044D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044D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044D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044D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044D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044D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04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044D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044D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044D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044D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044D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044D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044D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044D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044D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044D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044D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044D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044D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044D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044D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044D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044D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044D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044D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044D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044D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04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A044D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044D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044D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rsid w:val="00A044D5"/>
    <w:pPr>
      <w:spacing w:before="1588" w:after="567"/>
    </w:pPr>
    <w:rPr>
      <w:rFonts w:ascii="Times" w:hAnsi="Times"/>
      <w:b/>
      <w:sz w:val="34"/>
      <w:szCs w:val="34"/>
    </w:rPr>
  </w:style>
  <w:style w:type="paragraph" w:customStyle="1" w:styleId="subsubsection">
    <w:name w:val="subsubsection"/>
    <w:link w:val="subsubsectionChar"/>
    <w:autoRedefine/>
    <w:rsid w:val="00A044D5"/>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rsid w:val="00A044D5"/>
    <w:pPr>
      <w:tabs>
        <w:tab w:val="clear" w:pos="567"/>
        <w:tab w:val="center" w:pos="4820"/>
        <w:tab w:val="right" w:pos="9072"/>
      </w:tabs>
      <w:spacing w:before="120" w:after="120"/>
      <w:jc w:val="center"/>
    </w:pPr>
    <w:rPr>
      <w:lang w:val="en-US"/>
    </w:rPr>
  </w:style>
  <w:style w:type="paragraph" w:customStyle="1" w:styleId="Centred">
    <w:name w:val="Centred"/>
    <w:autoRedefine/>
    <w:rsid w:val="00A044D5"/>
    <w:pPr>
      <w:jc w:val="center"/>
    </w:pPr>
    <w:rPr>
      <w:rFonts w:ascii="Times" w:hAnsi="Times"/>
      <w:sz w:val="22"/>
      <w:lang w:eastAsia="en-US"/>
    </w:rPr>
  </w:style>
  <w:style w:type="paragraph" w:customStyle="1" w:styleId="BulletedIndent">
    <w:name w:val="Bulleted.Indent"/>
    <w:autoRedefine/>
    <w:rsid w:val="00A044D5"/>
    <w:pPr>
      <w:ind w:left="28"/>
      <w:jc w:val="both"/>
    </w:pPr>
    <w:rPr>
      <w:rFonts w:ascii="Times" w:hAnsi="Times"/>
      <w:sz w:val="22"/>
      <w:lang w:val="en-US" w:eastAsia="en-US"/>
    </w:rPr>
  </w:style>
  <w:style w:type="character" w:customStyle="1" w:styleId="BodyCharChar">
    <w:name w:val="Body Char Char"/>
    <w:link w:val="BodyChar"/>
    <w:rsid w:val="00A044D5"/>
    <w:rPr>
      <w:rFonts w:ascii="Times" w:hAnsi="Times"/>
      <w:color w:val="000000"/>
      <w:sz w:val="22"/>
      <w:szCs w:val="22"/>
      <w:lang w:val="en-GB" w:eastAsia="en-US" w:bidi="ar-SA"/>
    </w:rPr>
  </w:style>
  <w:style w:type="paragraph" w:customStyle="1" w:styleId="StyleTitleLeft005cm">
    <w:name w:val="Style Title + Left:  0.05 cm"/>
    <w:basedOn w:val="Title"/>
    <w:rsid w:val="00A044D5"/>
    <w:rPr>
      <w:bCs/>
      <w:szCs w:val="20"/>
    </w:rPr>
  </w:style>
  <w:style w:type="paragraph" w:customStyle="1" w:styleId="Abstract">
    <w:name w:val="Abstract"/>
    <w:rsid w:val="00A044D5"/>
    <w:pPr>
      <w:spacing w:after="454"/>
      <w:ind w:left="1418"/>
      <w:jc w:val="both"/>
    </w:pPr>
    <w:rPr>
      <w:rFonts w:ascii="Times" w:hAnsi="Times"/>
      <w:color w:val="000000"/>
      <w:lang w:eastAsia="en-US"/>
    </w:rPr>
  </w:style>
  <w:style w:type="paragraph" w:styleId="BalloonText">
    <w:name w:val="Balloon Text"/>
    <w:basedOn w:val="Normal"/>
    <w:semiHidden/>
    <w:rsid w:val="00A044D5"/>
    <w:rPr>
      <w:rFonts w:ascii="Tahoma" w:hAnsi="Tahoma" w:cs="Tahoma"/>
      <w:sz w:val="16"/>
      <w:szCs w:val="16"/>
    </w:rPr>
  </w:style>
  <w:style w:type="paragraph" w:customStyle="1" w:styleId="FigureCaption">
    <w:name w:val="FigureCaption"/>
    <w:rsid w:val="00A044D5"/>
    <w:pPr>
      <w:spacing w:before="170"/>
      <w:ind w:left="28"/>
      <w:jc w:val="center"/>
    </w:pPr>
    <w:rPr>
      <w:rFonts w:ascii="Times" w:hAnsi="Times"/>
      <w:color w:val="000000"/>
      <w:sz w:val="22"/>
      <w:szCs w:val="22"/>
      <w:lang w:eastAsia="en-US"/>
    </w:rPr>
  </w:style>
  <w:style w:type="character" w:customStyle="1" w:styleId="sectionChar">
    <w:name w:val="section Char"/>
    <w:link w:val="section"/>
    <w:rsid w:val="00A044D5"/>
    <w:rPr>
      <w:rFonts w:ascii="Times" w:hAnsi="Times"/>
      <w:b/>
      <w:color w:val="000000"/>
      <w:sz w:val="22"/>
      <w:szCs w:val="22"/>
      <w:lang w:eastAsia="en-US"/>
    </w:rPr>
  </w:style>
  <w:style w:type="character" w:customStyle="1" w:styleId="FormatNotes">
    <w:name w:val="FormatNotes"/>
    <w:rsid w:val="00A044D5"/>
    <w:rPr>
      <w:rFonts w:ascii="Times" w:hAnsi="Times"/>
      <w:color w:val="FF6600"/>
      <w:sz w:val="20"/>
      <w:szCs w:val="20"/>
      <w:lang w:val="en-GB"/>
    </w:rPr>
  </w:style>
  <w:style w:type="paragraph" w:customStyle="1" w:styleId="BulletedL2">
    <w:name w:val="BulletedL2"/>
    <w:basedOn w:val="Bulleted"/>
    <w:autoRedefine/>
    <w:rsid w:val="00A044D5"/>
    <w:pPr>
      <w:ind w:left="851"/>
    </w:pPr>
  </w:style>
  <w:style w:type="paragraph" w:customStyle="1" w:styleId="Authors">
    <w:name w:val="Authors"/>
    <w:rsid w:val="00A044D5"/>
    <w:pPr>
      <w:spacing w:after="113"/>
      <w:ind w:left="1418"/>
    </w:pPr>
    <w:rPr>
      <w:rFonts w:ascii="Times" w:hAnsi="Times"/>
      <w:b/>
      <w:sz w:val="22"/>
      <w:szCs w:val="22"/>
      <w:lang w:eastAsia="en-US"/>
    </w:rPr>
  </w:style>
  <w:style w:type="paragraph" w:customStyle="1" w:styleId="Addresses">
    <w:name w:val="Addresses"/>
    <w:autoRedefine/>
    <w:rsid w:val="00A044D5"/>
    <w:pPr>
      <w:spacing w:after="454"/>
      <w:ind w:left="1418"/>
    </w:pPr>
    <w:rPr>
      <w:sz w:val="22"/>
      <w:szCs w:val="22"/>
      <w:lang w:eastAsia="en-US"/>
    </w:rPr>
  </w:style>
  <w:style w:type="paragraph" w:customStyle="1" w:styleId="25mmIndent">
    <w:name w:val="25mmIndent"/>
    <w:rsid w:val="00A044D5"/>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A044D5"/>
    <w:pPr>
      <w:numPr>
        <w:numId w:val="14"/>
      </w:numPr>
    </w:pPr>
  </w:style>
  <w:style w:type="paragraph" w:customStyle="1" w:styleId="Numbered">
    <w:name w:val="Numbered"/>
    <w:autoRedefine/>
    <w:rsid w:val="00A044D5"/>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rsid w:val="00A044D5"/>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rsid w:val="00A044D5"/>
    <w:pPr>
      <w:jc w:val="center"/>
    </w:pPr>
  </w:style>
  <w:style w:type="character" w:customStyle="1" w:styleId="times1">
    <w:name w:val="times1"/>
    <w:rsid w:val="00A044D5"/>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A044D5"/>
    <w:rPr>
      <w:i w:val="0"/>
      <w:szCs w:val="20"/>
    </w:rPr>
  </w:style>
  <w:style w:type="paragraph" w:customStyle="1" w:styleId="StylesubsubsectionNotItalic">
    <w:name w:val="Style subsubsection + Not Italic"/>
    <w:basedOn w:val="subsubsection"/>
    <w:rsid w:val="00A044D5"/>
    <w:rPr>
      <w:i w:val="0"/>
      <w:iCs w:val="0"/>
    </w:rPr>
  </w:style>
  <w:style w:type="character" w:styleId="CommentReference">
    <w:name w:val="annotation reference"/>
    <w:semiHidden/>
    <w:rsid w:val="00A044D5"/>
    <w:rPr>
      <w:sz w:val="16"/>
      <w:szCs w:val="16"/>
    </w:rPr>
  </w:style>
  <w:style w:type="paragraph" w:styleId="CommentText">
    <w:name w:val="annotation text"/>
    <w:basedOn w:val="Normal"/>
    <w:semiHidden/>
    <w:rsid w:val="00A044D5"/>
    <w:rPr>
      <w:sz w:val="20"/>
    </w:rPr>
  </w:style>
  <w:style w:type="paragraph" w:styleId="CommentSubject">
    <w:name w:val="annotation subject"/>
    <w:basedOn w:val="CommentText"/>
    <w:next w:val="CommentText"/>
    <w:semiHidden/>
    <w:rsid w:val="00A044D5"/>
    <w:rPr>
      <w:b/>
      <w:bCs/>
    </w:rPr>
  </w:style>
  <w:style w:type="paragraph" w:customStyle="1" w:styleId="StylesubsubsectionNotItalic1Char">
    <w:name w:val="Style subsubsection + Not Italic1 Char"/>
    <w:basedOn w:val="subsubsection"/>
    <w:link w:val="StylesubsubsectionNotItalic1CharChar"/>
    <w:autoRedefine/>
    <w:rsid w:val="00A044D5"/>
    <w:rPr>
      <w:i w:val="0"/>
      <w:iCs w:val="0"/>
    </w:rPr>
  </w:style>
  <w:style w:type="character" w:customStyle="1" w:styleId="subsubsectionChar">
    <w:name w:val="subsubsection Char"/>
    <w:link w:val="subsubsection"/>
    <w:rsid w:val="00A044D5"/>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sid w:val="00A044D5"/>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rsid w:val="00A044D5"/>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A044D5"/>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rsid w:val="00A044D5"/>
    <w:pPr>
      <w:numPr>
        <w:numId w:val="17"/>
      </w:numPr>
      <w:spacing w:before="0"/>
    </w:pPr>
    <w:rPr>
      <w:bCs/>
      <w:szCs w:val="20"/>
    </w:rPr>
  </w:style>
  <w:style w:type="paragraph" w:customStyle="1" w:styleId="Reference">
    <w:name w:val="Reference"/>
    <w:rsid w:val="00A044D5"/>
    <w:pPr>
      <w:numPr>
        <w:numId w:val="22"/>
      </w:numPr>
      <w:tabs>
        <w:tab w:val="left" w:pos="709"/>
      </w:tabs>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rsid w:val="00A044D5"/>
    <w:pPr>
      <w:spacing w:before="120" w:after="120"/>
    </w:pPr>
    <w:rPr>
      <w:szCs w:val="20"/>
    </w:rPr>
  </w:style>
  <w:style w:type="paragraph" w:styleId="Revision">
    <w:name w:val="Revision"/>
    <w:hidden/>
    <w:uiPriority w:val="99"/>
    <w:semiHidden/>
    <w:rsid w:val="00165E82"/>
    <w:rPr>
      <w:rFonts w:ascii="Sabon" w:hAnsi="Sabon"/>
      <w:sz w:val="22"/>
      <w:lang w:eastAsia="en-US"/>
    </w:rPr>
  </w:style>
  <w:style w:type="character" w:customStyle="1" w:styleId="HeaderChar">
    <w:name w:val="Header Char"/>
    <w:basedOn w:val="DefaultParagraphFont"/>
    <w:link w:val="Header"/>
    <w:uiPriority w:val="99"/>
    <w:semiHidden/>
    <w:rsid w:val="00225C35"/>
    <w:rPr>
      <w:rFonts w:ascii="Sabon" w:hAnsi="Sabon"/>
      <w:sz w:val="22"/>
      <w:lang w:eastAsia="en-US"/>
    </w:rPr>
  </w:style>
  <w:style w:type="character" w:customStyle="1" w:styleId="IOPHeaderChar">
    <w:name w:val="IOPHeader Char"/>
    <w:basedOn w:val="HeaderChar"/>
    <w:link w:val="IOPHeader"/>
    <w:locked/>
    <w:rsid w:val="00225C35"/>
    <w:rPr>
      <w:rFonts w:ascii="Sabon" w:hAnsi="Sabon"/>
      <w:sz w:val="22"/>
      <w:lang w:eastAsia="en-US"/>
    </w:rPr>
  </w:style>
  <w:style w:type="paragraph" w:customStyle="1" w:styleId="IOPHeader">
    <w:name w:val="IOPHeader"/>
    <w:basedOn w:val="Header"/>
    <w:link w:val="IOPHeaderChar"/>
    <w:qFormat/>
    <w:rsid w:val="00225C35"/>
    <w:pPr>
      <w:pBdr>
        <w:bottom w:val="single" w:sz="4" w:space="1" w:color="auto"/>
      </w:pBdr>
      <w:tabs>
        <w:tab w:val="clear" w:pos="4320"/>
        <w:tab w:val="clear" w:pos="8640"/>
        <w:tab w:val="center" w:pos="4513"/>
        <w:tab w:val="right" w:pos="9026"/>
      </w:tabs>
    </w:pPr>
  </w:style>
  <w:style w:type="character" w:customStyle="1" w:styleId="FooterChar">
    <w:name w:val="Footer Char"/>
    <w:basedOn w:val="DefaultParagraphFont"/>
    <w:link w:val="Footer"/>
    <w:uiPriority w:val="99"/>
    <w:semiHidden/>
    <w:rsid w:val="00225C35"/>
    <w:rPr>
      <w:rFonts w:ascii="Sabon" w:hAnsi="Sabon"/>
      <w:sz w:val="22"/>
      <w:lang w:eastAsia="en-US"/>
    </w:rPr>
  </w:style>
  <w:style w:type="paragraph" w:customStyle="1" w:styleId="AuthorAffiliation">
    <w:name w:val="Author Affiliation"/>
    <w:basedOn w:val="Normal"/>
    <w:rsid w:val="00245CC0"/>
    <w:pPr>
      <w:jc w:val="center"/>
    </w:pPr>
    <w:rPr>
      <w:rFonts w:ascii="Times New Roman" w:hAnsi="Times New Roman"/>
      <w:i/>
      <w:sz w:val="20"/>
      <w:lang w:val="en-US"/>
    </w:rPr>
  </w:style>
  <w:style w:type="paragraph" w:customStyle="1" w:styleId="Paragraph">
    <w:name w:val="Paragraph"/>
    <w:basedOn w:val="Normal"/>
    <w:rsid w:val="00245CC0"/>
    <w:pPr>
      <w:ind w:firstLine="274"/>
      <w:jc w:val="both"/>
    </w:pPr>
    <w:rPr>
      <w:rFonts w:ascii="Times New Roman" w:hAnsi="Times New Roman"/>
      <w:sz w:val="20"/>
      <w:lang w:val="en-US"/>
    </w:rPr>
  </w:style>
  <w:style w:type="paragraph" w:styleId="ListParagraph">
    <w:name w:val="List Paragraph"/>
    <w:basedOn w:val="Normal"/>
    <w:uiPriority w:val="34"/>
    <w:qFormat/>
    <w:rsid w:val="00245CC0"/>
    <w:pPr>
      <w:autoSpaceDE w:val="0"/>
      <w:autoSpaceDN w:val="0"/>
      <w:ind w:left="720"/>
      <w:contextualSpacing/>
    </w:pPr>
    <w:rPr>
      <w:rFonts w:ascii="Times New Roman" w:hAnsi="Times New Roman"/>
      <w:sz w:val="20"/>
      <w:lang w:val="de-DE"/>
    </w:rPr>
  </w:style>
  <w:style w:type="character" w:customStyle="1" w:styleId="shorttext">
    <w:name w:val="short_text"/>
    <w:basedOn w:val="DefaultParagraphFont"/>
    <w:rsid w:val="00245CC0"/>
  </w:style>
  <w:style w:type="character" w:customStyle="1" w:styleId="current-selection">
    <w:name w:val="current-selection"/>
    <w:basedOn w:val="DefaultParagraphFont"/>
    <w:rsid w:val="00245CC0"/>
  </w:style>
  <w:style w:type="character" w:customStyle="1" w:styleId="HTMLPreformattedChar">
    <w:name w:val="HTML Preformatted Char"/>
    <w:basedOn w:val="DefaultParagraphFont"/>
    <w:link w:val="HTMLPreformatted"/>
    <w:uiPriority w:val="99"/>
    <w:rsid w:val="00C13BF8"/>
    <w:rPr>
      <w:rFonts w:ascii="Courier New" w:hAnsi="Courier New" w:cs="Courier New"/>
      <w:lang w:eastAsia="en-US"/>
    </w:rPr>
  </w:style>
  <w:style w:type="character" w:customStyle="1" w:styleId="a">
    <w:name w:val="a"/>
    <w:rsid w:val="00CC59AC"/>
  </w:style>
  <w:style w:type="character" w:customStyle="1" w:styleId="tlid-translation">
    <w:name w:val="tlid-translation"/>
    <w:basedOn w:val="DefaultParagraphFont"/>
    <w:rsid w:val="00D3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3600">
      <w:bodyDiv w:val="1"/>
      <w:marLeft w:val="0"/>
      <w:marRight w:val="0"/>
      <w:marTop w:val="0"/>
      <w:marBottom w:val="0"/>
      <w:divBdr>
        <w:top w:val="none" w:sz="0" w:space="0" w:color="auto"/>
        <w:left w:val="none" w:sz="0" w:space="0" w:color="auto"/>
        <w:bottom w:val="none" w:sz="0" w:space="0" w:color="auto"/>
        <w:right w:val="none" w:sz="0" w:space="0" w:color="auto"/>
      </w:divBdr>
    </w:div>
    <w:div w:id="309601304">
      <w:bodyDiv w:val="1"/>
      <w:marLeft w:val="0"/>
      <w:marRight w:val="0"/>
      <w:marTop w:val="0"/>
      <w:marBottom w:val="0"/>
      <w:divBdr>
        <w:top w:val="none" w:sz="0" w:space="0" w:color="auto"/>
        <w:left w:val="none" w:sz="0" w:space="0" w:color="auto"/>
        <w:bottom w:val="none" w:sz="0" w:space="0" w:color="auto"/>
        <w:right w:val="none" w:sz="0" w:space="0" w:color="auto"/>
      </w:divBdr>
    </w:div>
    <w:div w:id="356198921">
      <w:bodyDiv w:val="1"/>
      <w:marLeft w:val="0"/>
      <w:marRight w:val="0"/>
      <w:marTop w:val="0"/>
      <w:marBottom w:val="0"/>
      <w:divBdr>
        <w:top w:val="none" w:sz="0" w:space="0" w:color="auto"/>
        <w:left w:val="none" w:sz="0" w:space="0" w:color="auto"/>
        <w:bottom w:val="none" w:sz="0" w:space="0" w:color="auto"/>
        <w:right w:val="none" w:sz="0" w:space="0" w:color="auto"/>
      </w:divBdr>
    </w:div>
    <w:div w:id="554778622">
      <w:bodyDiv w:val="1"/>
      <w:marLeft w:val="0"/>
      <w:marRight w:val="0"/>
      <w:marTop w:val="0"/>
      <w:marBottom w:val="0"/>
      <w:divBdr>
        <w:top w:val="none" w:sz="0" w:space="0" w:color="auto"/>
        <w:left w:val="none" w:sz="0" w:space="0" w:color="auto"/>
        <w:bottom w:val="none" w:sz="0" w:space="0" w:color="auto"/>
        <w:right w:val="none" w:sz="0" w:space="0" w:color="auto"/>
      </w:divBdr>
    </w:div>
    <w:div w:id="668992072">
      <w:bodyDiv w:val="1"/>
      <w:marLeft w:val="0"/>
      <w:marRight w:val="0"/>
      <w:marTop w:val="0"/>
      <w:marBottom w:val="0"/>
      <w:divBdr>
        <w:top w:val="none" w:sz="0" w:space="0" w:color="auto"/>
        <w:left w:val="none" w:sz="0" w:space="0" w:color="auto"/>
        <w:bottom w:val="none" w:sz="0" w:space="0" w:color="auto"/>
        <w:right w:val="none" w:sz="0" w:space="0" w:color="auto"/>
      </w:divBdr>
    </w:div>
    <w:div w:id="714502619">
      <w:bodyDiv w:val="1"/>
      <w:marLeft w:val="0"/>
      <w:marRight w:val="0"/>
      <w:marTop w:val="0"/>
      <w:marBottom w:val="0"/>
      <w:divBdr>
        <w:top w:val="none" w:sz="0" w:space="0" w:color="auto"/>
        <w:left w:val="none" w:sz="0" w:space="0" w:color="auto"/>
        <w:bottom w:val="none" w:sz="0" w:space="0" w:color="auto"/>
        <w:right w:val="none" w:sz="0" w:space="0" w:color="auto"/>
      </w:divBdr>
    </w:div>
    <w:div w:id="847598945">
      <w:bodyDiv w:val="1"/>
      <w:marLeft w:val="0"/>
      <w:marRight w:val="0"/>
      <w:marTop w:val="0"/>
      <w:marBottom w:val="0"/>
      <w:divBdr>
        <w:top w:val="none" w:sz="0" w:space="0" w:color="auto"/>
        <w:left w:val="none" w:sz="0" w:space="0" w:color="auto"/>
        <w:bottom w:val="none" w:sz="0" w:space="0" w:color="auto"/>
        <w:right w:val="none" w:sz="0" w:space="0" w:color="auto"/>
      </w:divBdr>
    </w:div>
    <w:div w:id="986740824">
      <w:bodyDiv w:val="1"/>
      <w:marLeft w:val="0"/>
      <w:marRight w:val="0"/>
      <w:marTop w:val="0"/>
      <w:marBottom w:val="0"/>
      <w:divBdr>
        <w:top w:val="none" w:sz="0" w:space="0" w:color="auto"/>
        <w:left w:val="none" w:sz="0" w:space="0" w:color="auto"/>
        <w:bottom w:val="none" w:sz="0" w:space="0" w:color="auto"/>
        <w:right w:val="none" w:sz="0" w:space="0" w:color="auto"/>
      </w:divBdr>
    </w:div>
    <w:div w:id="1023022320">
      <w:bodyDiv w:val="1"/>
      <w:marLeft w:val="0"/>
      <w:marRight w:val="0"/>
      <w:marTop w:val="0"/>
      <w:marBottom w:val="0"/>
      <w:divBdr>
        <w:top w:val="none" w:sz="0" w:space="0" w:color="auto"/>
        <w:left w:val="none" w:sz="0" w:space="0" w:color="auto"/>
        <w:bottom w:val="none" w:sz="0" w:space="0" w:color="auto"/>
        <w:right w:val="none" w:sz="0" w:space="0" w:color="auto"/>
      </w:divBdr>
    </w:div>
    <w:div w:id="1038093781">
      <w:bodyDiv w:val="1"/>
      <w:marLeft w:val="0"/>
      <w:marRight w:val="0"/>
      <w:marTop w:val="0"/>
      <w:marBottom w:val="0"/>
      <w:divBdr>
        <w:top w:val="none" w:sz="0" w:space="0" w:color="auto"/>
        <w:left w:val="none" w:sz="0" w:space="0" w:color="auto"/>
        <w:bottom w:val="none" w:sz="0" w:space="0" w:color="auto"/>
        <w:right w:val="none" w:sz="0" w:space="0" w:color="auto"/>
      </w:divBdr>
    </w:div>
    <w:div w:id="1060057520">
      <w:bodyDiv w:val="1"/>
      <w:marLeft w:val="0"/>
      <w:marRight w:val="0"/>
      <w:marTop w:val="0"/>
      <w:marBottom w:val="0"/>
      <w:divBdr>
        <w:top w:val="none" w:sz="0" w:space="0" w:color="auto"/>
        <w:left w:val="none" w:sz="0" w:space="0" w:color="auto"/>
        <w:bottom w:val="none" w:sz="0" w:space="0" w:color="auto"/>
        <w:right w:val="none" w:sz="0" w:space="0" w:color="auto"/>
      </w:divBdr>
    </w:div>
    <w:div w:id="1253513264">
      <w:bodyDiv w:val="1"/>
      <w:marLeft w:val="0"/>
      <w:marRight w:val="0"/>
      <w:marTop w:val="0"/>
      <w:marBottom w:val="0"/>
      <w:divBdr>
        <w:top w:val="none" w:sz="0" w:space="0" w:color="auto"/>
        <w:left w:val="none" w:sz="0" w:space="0" w:color="auto"/>
        <w:bottom w:val="none" w:sz="0" w:space="0" w:color="auto"/>
        <w:right w:val="none" w:sz="0" w:space="0" w:color="auto"/>
      </w:divBdr>
    </w:div>
    <w:div w:id="1304578213">
      <w:bodyDiv w:val="1"/>
      <w:marLeft w:val="0"/>
      <w:marRight w:val="0"/>
      <w:marTop w:val="0"/>
      <w:marBottom w:val="0"/>
      <w:divBdr>
        <w:top w:val="none" w:sz="0" w:space="0" w:color="auto"/>
        <w:left w:val="none" w:sz="0" w:space="0" w:color="auto"/>
        <w:bottom w:val="none" w:sz="0" w:space="0" w:color="auto"/>
        <w:right w:val="none" w:sz="0" w:space="0" w:color="auto"/>
      </w:divBdr>
    </w:div>
    <w:div w:id="1431586061">
      <w:bodyDiv w:val="1"/>
      <w:marLeft w:val="0"/>
      <w:marRight w:val="0"/>
      <w:marTop w:val="0"/>
      <w:marBottom w:val="0"/>
      <w:divBdr>
        <w:top w:val="none" w:sz="0" w:space="0" w:color="auto"/>
        <w:left w:val="none" w:sz="0" w:space="0" w:color="auto"/>
        <w:bottom w:val="none" w:sz="0" w:space="0" w:color="auto"/>
        <w:right w:val="none" w:sz="0" w:space="0" w:color="auto"/>
      </w:divBdr>
    </w:div>
    <w:div w:id="1507095446">
      <w:bodyDiv w:val="1"/>
      <w:marLeft w:val="0"/>
      <w:marRight w:val="0"/>
      <w:marTop w:val="0"/>
      <w:marBottom w:val="0"/>
      <w:divBdr>
        <w:top w:val="none" w:sz="0" w:space="0" w:color="auto"/>
        <w:left w:val="none" w:sz="0" w:space="0" w:color="auto"/>
        <w:bottom w:val="none" w:sz="0" w:space="0" w:color="auto"/>
        <w:right w:val="none" w:sz="0" w:space="0" w:color="auto"/>
      </w:divBdr>
    </w:div>
    <w:div w:id="1774544948">
      <w:bodyDiv w:val="1"/>
      <w:marLeft w:val="0"/>
      <w:marRight w:val="0"/>
      <w:marTop w:val="0"/>
      <w:marBottom w:val="0"/>
      <w:divBdr>
        <w:top w:val="none" w:sz="0" w:space="0" w:color="auto"/>
        <w:left w:val="none" w:sz="0" w:space="0" w:color="auto"/>
        <w:bottom w:val="none" w:sz="0" w:space="0" w:color="auto"/>
        <w:right w:val="none" w:sz="0" w:space="0" w:color="auto"/>
      </w:divBdr>
    </w:div>
    <w:div w:id="1853839496">
      <w:bodyDiv w:val="1"/>
      <w:marLeft w:val="0"/>
      <w:marRight w:val="0"/>
      <w:marTop w:val="0"/>
      <w:marBottom w:val="0"/>
      <w:divBdr>
        <w:top w:val="none" w:sz="0" w:space="0" w:color="auto"/>
        <w:left w:val="none" w:sz="0" w:space="0" w:color="auto"/>
        <w:bottom w:val="none" w:sz="0" w:space="0" w:color="auto"/>
        <w:right w:val="none" w:sz="0" w:space="0" w:color="auto"/>
      </w:divBdr>
      <w:divsChild>
        <w:div w:id="133303004">
          <w:marLeft w:val="0"/>
          <w:marRight w:val="0"/>
          <w:marTop w:val="0"/>
          <w:marBottom w:val="0"/>
          <w:divBdr>
            <w:top w:val="none" w:sz="0" w:space="0" w:color="auto"/>
            <w:left w:val="none" w:sz="0" w:space="0" w:color="auto"/>
            <w:bottom w:val="none" w:sz="0" w:space="0" w:color="auto"/>
            <w:right w:val="none" w:sz="0" w:space="0" w:color="auto"/>
          </w:divBdr>
          <w:divsChild>
            <w:div w:id="1263999465">
              <w:marLeft w:val="0"/>
              <w:marRight w:val="0"/>
              <w:marTop w:val="0"/>
              <w:marBottom w:val="0"/>
              <w:divBdr>
                <w:top w:val="none" w:sz="0" w:space="0" w:color="auto"/>
                <w:left w:val="none" w:sz="0" w:space="0" w:color="auto"/>
                <w:bottom w:val="none" w:sz="0" w:space="0" w:color="auto"/>
                <w:right w:val="none" w:sz="0" w:space="0" w:color="auto"/>
              </w:divBdr>
              <w:divsChild>
                <w:div w:id="1612207829">
                  <w:marLeft w:val="0"/>
                  <w:marRight w:val="0"/>
                  <w:marTop w:val="0"/>
                  <w:marBottom w:val="0"/>
                  <w:divBdr>
                    <w:top w:val="none" w:sz="0" w:space="0" w:color="auto"/>
                    <w:left w:val="none" w:sz="0" w:space="0" w:color="auto"/>
                    <w:bottom w:val="none" w:sz="0" w:space="0" w:color="auto"/>
                    <w:right w:val="none" w:sz="0" w:space="0" w:color="auto"/>
                  </w:divBdr>
                  <w:divsChild>
                    <w:div w:id="5533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15217">
          <w:marLeft w:val="0"/>
          <w:marRight w:val="0"/>
          <w:marTop w:val="0"/>
          <w:marBottom w:val="0"/>
          <w:divBdr>
            <w:top w:val="none" w:sz="0" w:space="0" w:color="auto"/>
            <w:left w:val="none" w:sz="0" w:space="0" w:color="auto"/>
            <w:bottom w:val="none" w:sz="0" w:space="0" w:color="auto"/>
            <w:right w:val="none" w:sz="0" w:space="0" w:color="auto"/>
          </w:divBdr>
          <w:divsChild>
            <w:div w:id="428892347">
              <w:marLeft w:val="0"/>
              <w:marRight w:val="0"/>
              <w:marTop w:val="0"/>
              <w:marBottom w:val="0"/>
              <w:divBdr>
                <w:top w:val="none" w:sz="0" w:space="0" w:color="auto"/>
                <w:left w:val="none" w:sz="0" w:space="0" w:color="auto"/>
                <w:bottom w:val="none" w:sz="0" w:space="0" w:color="auto"/>
                <w:right w:val="none" w:sz="0" w:space="0" w:color="auto"/>
              </w:divBdr>
            </w:div>
          </w:divsChild>
        </w:div>
        <w:div w:id="1625500114">
          <w:marLeft w:val="0"/>
          <w:marRight w:val="0"/>
          <w:marTop w:val="0"/>
          <w:marBottom w:val="0"/>
          <w:divBdr>
            <w:top w:val="none" w:sz="0" w:space="0" w:color="auto"/>
            <w:left w:val="none" w:sz="0" w:space="0" w:color="auto"/>
            <w:bottom w:val="none" w:sz="0" w:space="0" w:color="auto"/>
            <w:right w:val="none" w:sz="0" w:space="0" w:color="auto"/>
          </w:divBdr>
        </w:div>
      </w:divsChild>
    </w:div>
    <w:div w:id="2044016392">
      <w:bodyDiv w:val="1"/>
      <w:marLeft w:val="0"/>
      <w:marRight w:val="0"/>
      <w:marTop w:val="0"/>
      <w:marBottom w:val="0"/>
      <w:divBdr>
        <w:top w:val="none" w:sz="0" w:space="0" w:color="auto"/>
        <w:left w:val="none" w:sz="0" w:space="0" w:color="auto"/>
        <w:bottom w:val="none" w:sz="0" w:space="0" w:color="auto"/>
        <w:right w:val="none" w:sz="0" w:space="0" w:color="auto"/>
      </w:divBdr>
    </w:div>
    <w:div w:id="2095928715">
      <w:bodyDiv w:val="1"/>
      <w:marLeft w:val="0"/>
      <w:marRight w:val="0"/>
      <w:marTop w:val="0"/>
      <w:marBottom w:val="0"/>
      <w:divBdr>
        <w:top w:val="none" w:sz="0" w:space="0" w:color="auto"/>
        <w:left w:val="none" w:sz="0" w:space="0" w:color="auto"/>
        <w:bottom w:val="none" w:sz="0" w:space="0" w:color="auto"/>
        <w:right w:val="none" w:sz="0" w:space="0" w:color="auto"/>
      </w:divBdr>
    </w:div>
    <w:div w:id="213243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05639-77BA-44A9-8656-850D5958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Pages>
  <Words>2518</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subject/>
  <dc:creator>I Gede Boy Darmawan</dc:creator>
  <cp:keywords>open access, proceedings, template, fast, affordable, flexible</cp:keywords>
  <dc:description/>
  <cp:lastModifiedBy>Windows User</cp:lastModifiedBy>
  <cp:revision>15</cp:revision>
  <cp:lastPrinted>2019-10-07T10:25:00Z</cp:lastPrinted>
  <dcterms:created xsi:type="dcterms:W3CDTF">2019-09-12T23:03:00Z</dcterms:created>
  <dcterms:modified xsi:type="dcterms:W3CDTF">2019-11-04T13:11:00Z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f0d31be8-7a45-3c49-841c-7e0a0b546f34</vt:lpwstr>
  </property>
</Properties>
</file>