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44F" w:rsidRPr="001A7FF1" w:rsidRDefault="0083244F" w:rsidP="001A7FF1">
      <w:pPr>
        <w:pStyle w:val="11"/>
        <w:rPr>
          <w:kern w:val="0"/>
          <w:lang w:val="en-GB"/>
        </w:rPr>
      </w:pPr>
      <w:bookmarkStart w:id="0" w:name="OLE_LINK1"/>
      <w:bookmarkStart w:id="1" w:name="OLE_LINK2"/>
      <w:r w:rsidRPr="001A7FF1">
        <w:t>The Effectiveness of Ongoing Assessment on Physics Learning in Improving Students Critical Thinking Skills</w:t>
      </w:r>
    </w:p>
    <w:p w:rsidR="0083244F" w:rsidRPr="001A7FF1" w:rsidRDefault="0083244F" w:rsidP="001A7FF1">
      <w:pPr>
        <w:pStyle w:val="authorname"/>
        <w:rPr>
          <w:vertAlign w:val="superscript"/>
        </w:rPr>
      </w:pPr>
      <w:r w:rsidRPr="001A7FF1">
        <w:t>Agus Setiawan</w:t>
      </w:r>
      <w:r w:rsidRPr="001A7FF1">
        <w:rPr>
          <w:vertAlign w:val="superscript"/>
        </w:rPr>
        <w:t>1</w:t>
      </w:r>
      <w:r w:rsidRPr="001A7FF1">
        <w:t>, Undang Rosidin</w:t>
      </w:r>
      <w:r w:rsidRPr="001A7FF1">
        <w:rPr>
          <w:vertAlign w:val="superscript"/>
        </w:rPr>
        <w:t xml:space="preserve">1 </w:t>
      </w:r>
      <w:r w:rsidRPr="001A7FF1">
        <w:t>&amp; Abdurrahman</w:t>
      </w:r>
      <w:r w:rsidRPr="001A7FF1">
        <w:rPr>
          <w:vertAlign w:val="superscript"/>
        </w:rPr>
        <w:t>1</w:t>
      </w:r>
    </w:p>
    <w:p w:rsidR="0083244F" w:rsidRPr="001A7FF1" w:rsidRDefault="0083244F" w:rsidP="0083244F">
      <w:pPr>
        <w:pStyle w:val="text"/>
      </w:pPr>
      <w:r w:rsidRPr="001A7FF1">
        <w:rPr>
          <w:vertAlign w:val="superscript"/>
          <w:lang w:val="de-DE"/>
        </w:rPr>
        <w:t>1</w:t>
      </w:r>
      <w:r w:rsidR="001A7FF1">
        <w:rPr>
          <w:vertAlign w:val="superscript"/>
          <w:lang w:val="de-DE"/>
        </w:rPr>
        <w:t xml:space="preserve"> </w:t>
      </w:r>
      <w:r w:rsidRPr="001A7FF1">
        <w:t>Physics Education Postgraduate Department, University of Lampung, Indonesia</w:t>
      </w:r>
    </w:p>
    <w:p w:rsidR="0083244F" w:rsidRPr="001A7FF1" w:rsidRDefault="0083244F" w:rsidP="0083244F">
      <w:pPr>
        <w:widowControl/>
        <w:adjustRightInd w:val="0"/>
        <w:snapToGrid w:val="0"/>
        <w:spacing w:after="80" w:line="240" w:lineRule="exact"/>
        <w:outlineLvl w:val="0"/>
        <w:rPr>
          <w:kern w:val="0"/>
          <w:sz w:val="20"/>
          <w:szCs w:val="20"/>
          <w:lang w:val="de-DE"/>
        </w:rPr>
      </w:pPr>
      <w:r w:rsidRPr="001A7FF1">
        <w:rPr>
          <w:sz w:val="20"/>
          <w:szCs w:val="20"/>
        </w:rPr>
        <w:t xml:space="preserve">Correspondence: </w:t>
      </w:r>
      <w:r w:rsidRPr="001A7FF1">
        <w:rPr>
          <w:kern w:val="0"/>
          <w:sz w:val="20"/>
          <w:szCs w:val="20"/>
          <w:lang w:val="de-DE"/>
        </w:rPr>
        <w:t>Abdurrahman, University of Lampung, Indonesia. E-mail: abdurrahman.1968@fkip.unila.ac.id</w:t>
      </w:r>
    </w:p>
    <w:p w:rsidR="00FE41AB" w:rsidRPr="001A7FF1" w:rsidRDefault="00FE41AB" w:rsidP="00C202B7">
      <w:pPr>
        <w:spacing w:after="80" w:line="240" w:lineRule="exact"/>
        <w:rPr>
          <w:bCs/>
          <w:sz w:val="20"/>
          <w:szCs w:val="20"/>
          <w:lang w:val="en-GB"/>
        </w:rPr>
      </w:pPr>
    </w:p>
    <w:p w:rsidR="00FE41AB" w:rsidRPr="001A7FF1" w:rsidRDefault="00FE41AB" w:rsidP="00FE41AB">
      <w:pPr>
        <w:spacing w:after="80" w:line="240" w:lineRule="exact"/>
        <w:rPr>
          <w:bCs/>
          <w:sz w:val="20"/>
          <w:szCs w:val="20"/>
          <w:lang w:val="en-GB"/>
        </w:rPr>
      </w:pPr>
      <w:r w:rsidRPr="001A7FF1">
        <w:rPr>
          <w:bCs/>
          <w:sz w:val="20"/>
          <w:szCs w:val="20"/>
          <w:lang w:val="en-GB"/>
        </w:rPr>
        <w:t xml:space="preserve">Received: </w:t>
      </w:r>
      <w:r w:rsidR="002130E0" w:rsidRPr="001A7FF1">
        <w:rPr>
          <w:bCs/>
          <w:sz w:val="20"/>
          <w:szCs w:val="20"/>
          <w:lang w:val="en-GB"/>
        </w:rPr>
        <w:t>April</w:t>
      </w:r>
      <w:r w:rsidRPr="001A7FF1">
        <w:rPr>
          <w:bCs/>
          <w:sz w:val="20"/>
          <w:szCs w:val="20"/>
          <w:lang w:val="en-GB"/>
        </w:rPr>
        <w:t xml:space="preserve"> </w:t>
      </w:r>
      <w:r w:rsidR="002130E0">
        <w:rPr>
          <w:bCs/>
          <w:sz w:val="20"/>
          <w:szCs w:val="20"/>
          <w:lang w:val="en-GB"/>
        </w:rPr>
        <w:t>16</w:t>
      </w:r>
      <w:r w:rsidRPr="001A7FF1">
        <w:rPr>
          <w:bCs/>
          <w:sz w:val="20"/>
          <w:szCs w:val="20"/>
          <w:lang w:val="en-GB"/>
        </w:rPr>
        <w:t xml:space="preserve">, 2019; Accepted: April </w:t>
      </w:r>
      <w:r w:rsidR="002130E0">
        <w:rPr>
          <w:bCs/>
          <w:sz w:val="20"/>
          <w:szCs w:val="20"/>
          <w:lang w:val="en-GB"/>
        </w:rPr>
        <w:t>16</w:t>
      </w:r>
      <w:r w:rsidRPr="001A7FF1">
        <w:rPr>
          <w:bCs/>
          <w:sz w:val="20"/>
          <w:szCs w:val="20"/>
          <w:lang w:val="en-GB"/>
        </w:rPr>
        <w:t xml:space="preserve">, 2019; Published: May </w:t>
      </w:r>
      <w:r w:rsidR="002130E0">
        <w:rPr>
          <w:bCs/>
          <w:sz w:val="20"/>
          <w:szCs w:val="20"/>
          <w:lang w:val="en-GB"/>
        </w:rPr>
        <w:t>7</w:t>
      </w:r>
      <w:r w:rsidRPr="001A7FF1">
        <w:rPr>
          <w:bCs/>
          <w:sz w:val="20"/>
          <w:szCs w:val="20"/>
          <w:lang w:val="en-GB"/>
        </w:rPr>
        <w:t>, 2019</w:t>
      </w:r>
    </w:p>
    <w:p w:rsidR="00FE41AB" w:rsidRPr="001A7FF1" w:rsidRDefault="00FE41AB" w:rsidP="005F2E9D">
      <w:pPr>
        <w:pStyle w:val="text"/>
      </w:pPr>
    </w:p>
    <w:p w:rsidR="0083244F" w:rsidRPr="005F2E9D" w:rsidRDefault="0083244F" w:rsidP="005F2E9D">
      <w:pPr>
        <w:pStyle w:val="text"/>
        <w:rPr>
          <w:b/>
        </w:rPr>
      </w:pPr>
      <w:r w:rsidRPr="005F2E9D">
        <w:rPr>
          <w:b/>
        </w:rPr>
        <w:t>Abstract</w:t>
      </w:r>
    </w:p>
    <w:p w:rsidR="0083244F" w:rsidRPr="001A7FF1" w:rsidRDefault="0083244F" w:rsidP="005F2E9D">
      <w:pPr>
        <w:pStyle w:val="text"/>
      </w:pPr>
      <w:r w:rsidRPr="001A7FF1">
        <w:t>This research was conducted to determine the effectiveness of the ongoing assessment of student learning outcomes. There were three groups of students in this study who used different types of questions. The type of questions used are multiple choices, essays, and true/false. Effectiveness is obtained from the average N-gain score. The results of the product effectiveness test show different results for each type of question. The effectiveness of the ongoing assessment with the type of multiple choice questions and true/false based on the results of the average n-gain included in the category is quite effective. The effectiveness of the ongoing assessment with the type of essay question based on the average n-gain results is included in the less effective category.</w:t>
      </w:r>
    </w:p>
    <w:p w:rsidR="0083244F" w:rsidRPr="001A7FF1" w:rsidRDefault="0083244F" w:rsidP="005F2E9D">
      <w:pPr>
        <w:pStyle w:val="text"/>
      </w:pPr>
      <w:r w:rsidRPr="005F2E9D">
        <w:rPr>
          <w:b/>
        </w:rPr>
        <w:t>Keywords:</w:t>
      </w:r>
      <w:r w:rsidRPr="001A7FF1">
        <w:t xml:space="preserve"> ongoing assessment, physics learning, critical thinking skills</w:t>
      </w:r>
    </w:p>
    <w:p w:rsidR="0083244F" w:rsidRPr="005F2E9D" w:rsidRDefault="0083244F" w:rsidP="005F2E9D">
      <w:pPr>
        <w:pStyle w:val="text"/>
        <w:rPr>
          <w:b/>
        </w:rPr>
      </w:pPr>
      <w:r w:rsidRPr="005F2E9D">
        <w:rPr>
          <w:b/>
        </w:rPr>
        <w:t>1. Introduction</w:t>
      </w:r>
    </w:p>
    <w:p w:rsidR="0083244F" w:rsidRPr="001A7FF1" w:rsidRDefault="0083244F" w:rsidP="005F2E9D">
      <w:pPr>
        <w:pStyle w:val="text"/>
        <w:rPr>
          <w:rFonts w:eastAsia="Arial Unicode MS"/>
        </w:rPr>
      </w:pPr>
      <w:r w:rsidRPr="001A7FF1">
        <w:rPr>
          <w:lang w:val="id-ID"/>
        </w:rPr>
        <w:t xml:space="preserve">In the 21st century, where rapid development of science and technology takes place, everyone will be required to become an individual who is able to compete globally. In such competition, one must certainly have the ability to make it a superior human resource. One of the competencies which characterize superior human resources is high-order thinking skills. High-order thinking includes critical thinking skills and the ability to think creatively. </w:t>
      </w:r>
      <w:r w:rsidRPr="001A7FF1">
        <w:t>Students' critical thinking skills can be improved through assessment of spiritual thinking (Barnett &amp; Francis, 2012). Some questions that can be used to improve students' critical thinking skills are multiple choice, short answers, true-false, matching, sorting and essays (Pradana &amp; Suyatna, 2017).</w:t>
      </w:r>
    </w:p>
    <w:p w:rsidR="0083244F" w:rsidRPr="001A7FF1" w:rsidRDefault="0083244F" w:rsidP="005F2E9D">
      <w:pPr>
        <w:pStyle w:val="text"/>
        <w:rPr>
          <w:rFonts w:eastAsia="Arial Unicode MS"/>
        </w:rPr>
      </w:pPr>
      <w:r w:rsidRPr="001A7FF1">
        <w:rPr>
          <w:spacing w:val="4"/>
          <w:lang w:val="id-ID"/>
        </w:rPr>
        <w:t>The implementation of assessment emphasizes questions that require deep thinking to be able to measure high-order thinking skills and measure not only the results of students’ work, but also the processes of students’ work</w:t>
      </w:r>
      <w:r w:rsidRPr="001A7FF1">
        <w:rPr>
          <w:spacing w:val="4"/>
        </w:rPr>
        <w:t xml:space="preserve"> (</w:t>
      </w:r>
      <w:r w:rsidRPr="001A7FF1">
        <w:rPr>
          <w:shd w:val="clear" w:color="auto" w:fill="FFFFFF"/>
        </w:rPr>
        <w:t>Kearney, 2013)</w:t>
      </w:r>
      <w:r w:rsidRPr="001A7FF1">
        <w:rPr>
          <w:spacing w:val="4"/>
          <w:lang w:val="id-ID"/>
        </w:rPr>
        <w:t>.</w:t>
      </w:r>
      <w:r w:rsidRPr="001A7FF1">
        <w:t xml:space="preserve"> Critical thinking ability refers to the ability of students to analyze information, determine relevant information and interpret information in solving problems (Wylie &amp; Neely, 2016; Loes et al., 2015).</w:t>
      </w:r>
    </w:p>
    <w:p w:rsidR="0083244F" w:rsidRPr="001A7FF1" w:rsidRDefault="0083244F" w:rsidP="005F2E9D">
      <w:pPr>
        <w:pStyle w:val="text"/>
        <w:rPr>
          <w:rFonts w:eastAsia="Arial Unicode MS"/>
        </w:rPr>
      </w:pPr>
      <w:r w:rsidRPr="001A7FF1">
        <w:t>Students will not be able to develop their critical thinking skills properly if they are not challenged to use them in learning (Dellos, 2015). Ongoing assessment is an assessment that not only assesses results but also assesses student processes in solving problems during learning (</w:t>
      </w:r>
      <w:r w:rsidRPr="001A7FF1">
        <w:rPr>
          <w:shd w:val="clear" w:color="auto" w:fill="FFFFFF"/>
        </w:rPr>
        <w:t>Leirhaug &amp; MacPhail, 2015</w:t>
      </w:r>
      <w:r w:rsidRPr="001A7FF1">
        <w:t>). Ongoing assessment will provide meaningful experiences that enhance students' critical thinking skills (Abosalem, 2016).</w:t>
      </w:r>
    </w:p>
    <w:p w:rsidR="0083244F" w:rsidRPr="001A7FF1" w:rsidRDefault="0083244F" w:rsidP="005F2E9D">
      <w:pPr>
        <w:pStyle w:val="text"/>
        <w:rPr>
          <w:rFonts w:eastAsia="Arial Unicode MS"/>
        </w:rPr>
      </w:pPr>
      <w:r w:rsidRPr="001A7FF1">
        <w:rPr>
          <w:spacing w:val="1"/>
        </w:rPr>
        <w:t>Ongoing assessment is a combination of student thinking processes and teacher feedback needed to improve student understanding of a particular topic or concept. Feedback is one of the factors that has a strong impact on the success of the learning process and student achievement (Heitink et al., 2016).</w:t>
      </w:r>
      <w:r w:rsidRPr="001A7FF1">
        <w:t xml:space="preserve"> </w:t>
      </w:r>
      <w:r w:rsidRPr="001A7FF1">
        <w:rPr>
          <w:spacing w:val="1"/>
        </w:rPr>
        <w:t>Giving feedback both reflectively and constructively will improve the quality of student learning (Thomas et al., 2011). Abdurrahman et al. (2018) emphasize that active and dynamic learning is very dependent on feedback.</w:t>
      </w:r>
    </w:p>
    <w:p w:rsidR="0083244F" w:rsidRPr="001A7FF1" w:rsidRDefault="0083244F" w:rsidP="005F2E9D">
      <w:pPr>
        <w:pStyle w:val="text"/>
        <w:rPr>
          <w:spacing w:val="1"/>
        </w:rPr>
      </w:pPr>
      <w:r w:rsidRPr="001A7FF1">
        <w:rPr>
          <w:spacing w:val="1"/>
        </w:rPr>
        <w:t>Observations conducted on 26 students showed more than 53% of students had low conceptual abilities. Low conceptual understanding causes students to experience difficulties in solving problems or having difficulty learning. A student with a low conceptual understanding will experience difficulties in following active learning, requiring critical thinking skills (</w:t>
      </w:r>
      <w:r w:rsidRPr="001A7FF1">
        <w:rPr>
          <w:rFonts w:eastAsiaTheme="minorEastAsia"/>
          <w:color w:val="000000"/>
        </w:rPr>
        <w:t>Kiryak &amp; Çalik, 2018</w:t>
      </w:r>
      <w:r w:rsidRPr="001A7FF1">
        <w:rPr>
          <w:spacing w:val="1"/>
        </w:rPr>
        <w:t>). The best way to stimulate a student's conceptual understanding is to ask questions that interfere with their thinking (Chin, 2006). In addition, the role of the teacher as a facilitator is also very important. Teachers who provide assistance optimally will produce a higher understanding of students' concepts (Geveke et al., 2016).</w:t>
      </w:r>
    </w:p>
    <w:p w:rsidR="0083244F" w:rsidRPr="001A7FF1" w:rsidRDefault="0083244F" w:rsidP="005F2E9D">
      <w:pPr>
        <w:pStyle w:val="text"/>
        <w:rPr>
          <w:iCs/>
        </w:rPr>
      </w:pPr>
      <w:r w:rsidRPr="001A7FF1">
        <w:rPr>
          <w:spacing w:val="1"/>
        </w:rPr>
        <w:lastRenderedPageBreak/>
        <w:t>The purpose of this study was to describe the effectiveness of ongoing assessments to improve students' critical thinking skills. based on these obejectives, the formulation of problems in this research as: how effective the ongoing assessment of physics learning in improving students' critical thinking skills?</w:t>
      </w:r>
    </w:p>
    <w:p w:rsidR="0083244F" w:rsidRPr="005F2E9D" w:rsidRDefault="0083244F" w:rsidP="005F2E9D">
      <w:pPr>
        <w:pStyle w:val="text"/>
        <w:rPr>
          <w:b/>
          <w:iCs/>
        </w:rPr>
      </w:pPr>
      <w:r w:rsidRPr="005F2E9D">
        <w:rPr>
          <w:b/>
          <w:iCs/>
        </w:rPr>
        <w:t>2. Method</w:t>
      </w:r>
    </w:p>
    <w:p w:rsidR="0083244F" w:rsidRPr="001A7FF1" w:rsidRDefault="0083244F" w:rsidP="005F2E9D">
      <w:pPr>
        <w:pStyle w:val="text"/>
      </w:pPr>
      <w:r w:rsidRPr="001A7FF1">
        <w:t xml:space="preserve">The research design used pretest-posttest group design (Creswell, 2012). This test was applied to class X with three classes, namely class A </w:t>
      </w:r>
      <w:r w:rsidRPr="001A7FF1">
        <w:rPr>
          <w:lang w:val="id-ID"/>
        </w:rPr>
        <w:t xml:space="preserve">which </w:t>
      </w:r>
      <w:r w:rsidRPr="001A7FF1">
        <w:t>used multiple choice</w:t>
      </w:r>
      <w:r w:rsidRPr="001A7FF1">
        <w:rPr>
          <w:lang w:val="id-ID"/>
        </w:rPr>
        <w:t xml:space="preserve"> </w:t>
      </w:r>
      <w:r w:rsidRPr="001A7FF1">
        <w:t>type</w:t>
      </w:r>
      <w:r w:rsidRPr="001A7FF1">
        <w:rPr>
          <w:lang w:val="id-ID"/>
        </w:rPr>
        <w:t xml:space="preserve"> </w:t>
      </w:r>
      <w:r w:rsidRPr="001A7FF1">
        <w:t xml:space="preserve">ongoing assessment, class B </w:t>
      </w:r>
      <w:r w:rsidRPr="001A7FF1">
        <w:rPr>
          <w:lang w:val="id-ID"/>
        </w:rPr>
        <w:t xml:space="preserve">which </w:t>
      </w:r>
      <w:r w:rsidRPr="001A7FF1">
        <w:t xml:space="preserve">used </w:t>
      </w:r>
      <w:r w:rsidRPr="001A7FF1">
        <w:rPr>
          <w:lang w:val="id-ID"/>
        </w:rPr>
        <w:t>true or false</w:t>
      </w:r>
      <w:r w:rsidRPr="001A7FF1">
        <w:t xml:space="preserve"> type ongoing assessment, and class C </w:t>
      </w:r>
      <w:r w:rsidRPr="001A7FF1">
        <w:rPr>
          <w:lang w:val="id-ID"/>
        </w:rPr>
        <w:t xml:space="preserve">which </w:t>
      </w:r>
      <w:r w:rsidRPr="001A7FF1">
        <w:t>used es</w:t>
      </w:r>
      <w:r w:rsidRPr="001A7FF1">
        <w:rPr>
          <w:lang w:val="id-ID"/>
        </w:rPr>
        <w:t>s</w:t>
      </w:r>
      <w:r w:rsidRPr="001A7FF1">
        <w:t xml:space="preserve">ay </w:t>
      </w:r>
      <w:r w:rsidRPr="001A7FF1">
        <w:rPr>
          <w:lang w:val="id-ID"/>
        </w:rPr>
        <w:t xml:space="preserve">answer </w:t>
      </w:r>
      <w:r w:rsidRPr="001A7FF1">
        <w:t xml:space="preserve">type ongoing assessment. The learning in each class were carried out </w:t>
      </w:r>
      <w:r w:rsidRPr="001A7FF1">
        <w:rPr>
          <w:lang w:val="id-ID"/>
        </w:rPr>
        <w:t>through</w:t>
      </w:r>
      <w:r w:rsidRPr="001A7FF1">
        <w:t xml:space="preserve"> three stages. First</w:t>
      </w:r>
      <w:r w:rsidRPr="001A7FF1">
        <w:rPr>
          <w:lang w:val="id-ID"/>
        </w:rPr>
        <w:t>ly,</w:t>
      </w:r>
      <w:r w:rsidRPr="001A7FF1">
        <w:t xml:space="preserve"> the students were given a pre-test to </w:t>
      </w:r>
      <w:r w:rsidRPr="001A7FF1">
        <w:rPr>
          <w:lang w:val="id-ID"/>
        </w:rPr>
        <w:t>discover the</w:t>
      </w:r>
      <w:r w:rsidRPr="001A7FF1">
        <w:t xml:space="preserve"> knowledge </w:t>
      </w:r>
      <w:r w:rsidRPr="001A7FF1">
        <w:rPr>
          <w:lang w:val="id-ID"/>
        </w:rPr>
        <w:t xml:space="preserve">concerning on </w:t>
      </w:r>
      <w:r w:rsidRPr="001A7FF1">
        <w:t>the material before learning. Second</w:t>
      </w:r>
      <w:r w:rsidRPr="001A7FF1">
        <w:rPr>
          <w:lang w:val="id-ID"/>
        </w:rPr>
        <w:t>ly</w:t>
      </w:r>
      <w:r w:rsidRPr="001A7FF1">
        <w:t xml:space="preserve">, the learning process used ongoing assessment. Students were given questions according to the material and were asked to answer with evidence or data. Then the teacher </w:t>
      </w:r>
      <w:r w:rsidRPr="001A7FF1">
        <w:rPr>
          <w:lang w:val="id-ID"/>
        </w:rPr>
        <w:t>gave</w:t>
      </w:r>
      <w:r w:rsidRPr="001A7FF1">
        <w:t xml:space="preserve"> feedback in the form of </w:t>
      </w:r>
      <w:r w:rsidRPr="001A7FF1">
        <w:rPr>
          <w:lang w:val="id-ID"/>
        </w:rPr>
        <w:t>evaluation</w:t>
      </w:r>
      <w:r w:rsidRPr="001A7FF1">
        <w:t xml:space="preserve"> or clarification. This process was carried out on a cyclic basis until the material competence was complete. Third</w:t>
      </w:r>
      <w:r w:rsidRPr="001A7FF1">
        <w:rPr>
          <w:lang w:val="id-ID"/>
        </w:rPr>
        <w:t>ly</w:t>
      </w:r>
      <w:r w:rsidRPr="001A7FF1">
        <w:t xml:space="preserve">, post-test </w:t>
      </w:r>
      <w:r w:rsidRPr="001A7FF1">
        <w:rPr>
          <w:lang w:val="id-ID"/>
        </w:rPr>
        <w:t xml:space="preserve">was given </w:t>
      </w:r>
      <w:r w:rsidRPr="001A7FF1">
        <w:t>to test students' critical abilities and conceptual knowledge after learning. Table 1 shows the form of research design used.</w:t>
      </w:r>
    </w:p>
    <w:p w:rsidR="005F2E9D" w:rsidRDefault="005F2E9D" w:rsidP="005F2E9D">
      <w:pPr>
        <w:pStyle w:val="text"/>
      </w:pPr>
    </w:p>
    <w:p w:rsidR="0083244F" w:rsidRPr="001A7FF1" w:rsidRDefault="0083244F" w:rsidP="005F2E9D">
      <w:pPr>
        <w:pStyle w:val="text"/>
      </w:pPr>
      <w:r w:rsidRPr="001A7FF1">
        <w:t>Table</w:t>
      </w:r>
      <w:r w:rsidRPr="001A7FF1">
        <w:rPr>
          <w:lang w:val="id-ID"/>
        </w:rPr>
        <w:t xml:space="preserve"> 1</w:t>
      </w:r>
      <w:r w:rsidRPr="001A7FF1">
        <w:t>. Pretest-Posttest Group Design</w:t>
      </w:r>
    </w:p>
    <w:tbl>
      <w:tblPr>
        <w:tblW w:w="0" w:type="auto"/>
        <w:jc w:val="center"/>
        <w:tblBorders>
          <w:top w:val="single" w:sz="4" w:space="0" w:color="auto"/>
          <w:bottom w:val="single" w:sz="4" w:space="0" w:color="auto"/>
        </w:tblBorders>
        <w:tblLook w:val="04A0" w:firstRow="1" w:lastRow="0" w:firstColumn="1" w:lastColumn="0" w:noHBand="0" w:noVBand="1"/>
      </w:tblPr>
      <w:tblGrid>
        <w:gridCol w:w="650"/>
        <w:gridCol w:w="827"/>
        <w:gridCol w:w="1031"/>
        <w:gridCol w:w="905"/>
      </w:tblGrid>
      <w:tr w:rsidR="0083244F" w:rsidRPr="001A7FF1" w:rsidTr="005F2E9D">
        <w:trPr>
          <w:jc w:val="center"/>
        </w:trPr>
        <w:tc>
          <w:tcPr>
            <w:tcW w:w="0" w:type="auto"/>
            <w:tcBorders>
              <w:bottom w:val="single" w:sz="4" w:space="0" w:color="auto"/>
            </w:tcBorders>
            <w:shd w:val="clear" w:color="auto" w:fill="auto"/>
          </w:tcPr>
          <w:p w:rsidR="0083244F" w:rsidRPr="001A7FF1" w:rsidRDefault="0083244F" w:rsidP="005F2E9D">
            <w:pPr>
              <w:spacing w:line="240" w:lineRule="exact"/>
              <w:jc w:val="center"/>
              <w:rPr>
                <w:sz w:val="20"/>
                <w:szCs w:val="20"/>
              </w:rPr>
            </w:pPr>
            <w:r w:rsidRPr="001A7FF1">
              <w:rPr>
                <w:sz w:val="20"/>
                <w:szCs w:val="20"/>
              </w:rPr>
              <w:t>Class</w:t>
            </w:r>
          </w:p>
        </w:tc>
        <w:tc>
          <w:tcPr>
            <w:tcW w:w="0" w:type="auto"/>
            <w:tcBorders>
              <w:bottom w:val="single" w:sz="4" w:space="0" w:color="auto"/>
            </w:tcBorders>
            <w:shd w:val="clear" w:color="auto" w:fill="auto"/>
          </w:tcPr>
          <w:p w:rsidR="0083244F" w:rsidRPr="001A7FF1" w:rsidRDefault="0083244F" w:rsidP="005F2E9D">
            <w:pPr>
              <w:spacing w:line="240" w:lineRule="exact"/>
              <w:jc w:val="center"/>
              <w:rPr>
                <w:sz w:val="20"/>
                <w:szCs w:val="20"/>
              </w:rPr>
            </w:pPr>
            <w:r w:rsidRPr="001A7FF1">
              <w:rPr>
                <w:sz w:val="20"/>
                <w:szCs w:val="20"/>
              </w:rPr>
              <w:t>Pre-test</w:t>
            </w:r>
          </w:p>
        </w:tc>
        <w:tc>
          <w:tcPr>
            <w:tcW w:w="0" w:type="auto"/>
            <w:tcBorders>
              <w:bottom w:val="single" w:sz="4" w:space="0" w:color="auto"/>
            </w:tcBorders>
            <w:shd w:val="clear" w:color="auto" w:fill="auto"/>
          </w:tcPr>
          <w:p w:rsidR="0083244F" w:rsidRPr="001A7FF1" w:rsidRDefault="0083244F" w:rsidP="005F2E9D">
            <w:pPr>
              <w:spacing w:line="240" w:lineRule="exact"/>
              <w:jc w:val="center"/>
              <w:rPr>
                <w:sz w:val="20"/>
                <w:szCs w:val="20"/>
              </w:rPr>
            </w:pPr>
            <w:r w:rsidRPr="001A7FF1">
              <w:rPr>
                <w:sz w:val="20"/>
                <w:szCs w:val="20"/>
              </w:rPr>
              <w:t>Treatment</w:t>
            </w:r>
          </w:p>
        </w:tc>
        <w:tc>
          <w:tcPr>
            <w:tcW w:w="0" w:type="auto"/>
            <w:tcBorders>
              <w:bottom w:val="single" w:sz="4" w:space="0" w:color="auto"/>
            </w:tcBorders>
            <w:shd w:val="clear" w:color="auto" w:fill="auto"/>
          </w:tcPr>
          <w:p w:rsidR="0083244F" w:rsidRPr="001A7FF1" w:rsidRDefault="0083244F" w:rsidP="005F2E9D">
            <w:pPr>
              <w:spacing w:line="240" w:lineRule="exact"/>
              <w:jc w:val="center"/>
              <w:rPr>
                <w:sz w:val="20"/>
                <w:szCs w:val="20"/>
              </w:rPr>
            </w:pPr>
            <w:r w:rsidRPr="001A7FF1">
              <w:rPr>
                <w:sz w:val="20"/>
                <w:szCs w:val="20"/>
              </w:rPr>
              <w:t>Post-test</w:t>
            </w:r>
          </w:p>
        </w:tc>
      </w:tr>
      <w:tr w:rsidR="0083244F" w:rsidRPr="001A7FF1" w:rsidTr="005F2E9D">
        <w:trPr>
          <w:jc w:val="center"/>
        </w:trPr>
        <w:tc>
          <w:tcPr>
            <w:tcW w:w="0" w:type="auto"/>
            <w:tcBorders>
              <w:top w:val="single" w:sz="4" w:space="0" w:color="auto"/>
              <w:bottom w:val="nil"/>
            </w:tcBorders>
            <w:shd w:val="clear" w:color="auto" w:fill="auto"/>
          </w:tcPr>
          <w:p w:rsidR="0083244F" w:rsidRPr="001A7FF1" w:rsidRDefault="0083244F" w:rsidP="005F2E9D">
            <w:pPr>
              <w:spacing w:line="240" w:lineRule="exact"/>
              <w:jc w:val="center"/>
              <w:rPr>
                <w:sz w:val="20"/>
                <w:szCs w:val="20"/>
              </w:rPr>
            </w:pPr>
            <w:r w:rsidRPr="001A7FF1">
              <w:rPr>
                <w:sz w:val="20"/>
                <w:szCs w:val="20"/>
              </w:rPr>
              <w:t>A</w:t>
            </w:r>
          </w:p>
        </w:tc>
        <w:tc>
          <w:tcPr>
            <w:tcW w:w="0" w:type="auto"/>
            <w:tcBorders>
              <w:top w:val="single" w:sz="4" w:space="0" w:color="auto"/>
              <w:bottom w:val="nil"/>
            </w:tcBorders>
            <w:shd w:val="clear" w:color="auto" w:fill="auto"/>
          </w:tcPr>
          <w:p w:rsidR="0083244F" w:rsidRPr="001A7FF1" w:rsidRDefault="0083244F" w:rsidP="005F2E9D">
            <w:pPr>
              <w:spacing w:line="240" w:lineRule="exact"/>
              <w:jc w:val="center"/>
              <w:rPr>
                <w:sz w:val="20"/>
                <w:szCs w:val="20"/>
              </w:rPr>
            </w:pPr>
            <w:r w:rsidRPr="001A7FF1">
              <w:rPr>
                <w:sz w:val="20"/>
                <w:szCs w:val="20"/>
              </w:rPr>
              <w:t>O</w:t>
            </w:r>
          </w:p>
        </w:tc>
        <w:tc>
          <w:tcPr>
            <w:tcW w:w="0" w:type="auto"/>
            <w:tcBorders>
              <w:top w:val="single" w:sz="4" w:space="0" w:color="auto"/>
              <w:bottom w:val="nil"/>
            </w:tcBorders>
            <w:shd w:val="clear" w:color="auto" w:fill="auto"/>
          </w:tcPr>
          <w:p w:rsidR="0083244F" w:rsidRPr="001A7FF1" w:rsidRDefault="0083244F" w:rsidP="005F2E9D">
            <w:pPr>
              <w:spacing w:line="240" w:lineRule="exact"/>
              <w:jc w:val="center"/>
              <w:rPr>
                <w:sz w:val="20"/>
                <w:szCs w:val="20"/>
              </w:rPr>
            </w:pPr>
            <w:r w:rsidRPr="001A7FF1">
              <w:rPr>
                <w:sz w:val="20"/>
                <w:szCs w:val="20"/>
              </w:rPr>
              <w:t>X</w:t>
            </w:r>
            <w:r w:rsidRPr="001A7FF1">
              <w:rPr>
                <w:sz w:val="20"/>
                <w:szCs w:val="20"/>
                <w:vertAlign w:val="subscript"/>
              </w:rPr>
              <w:t xml:space="preserve"> 1</w:t>
            </w:r>
          </w:p>
        </w:tc>
        <w:tc>
          <w:tcPr>
            <w:tcW w:w="0" w:type="auto"/>
            <w:tcBorders>
              <w:top w:val="single" w:sz="4" w:space="0" w:color="auto"/>
              <w:bottom w:val="nil"/>
            </w:tcBorders>
            <w:shd w:val="clear" w:color="auto" w:fill="auto"/>
          </w:tcPr>
          <w:p w:rsidR="0083244F" w:rsidRPr="001A7FF1" w:rsidRDefault="0083244F" w:rsidP="005F2E9D">
            <w:pPr>
              <w:spacing w:line="240" w:lineRule="exact"/>
              <w:jc w:val="center"/>
              <w:rPr>
                <w:sz w:val="20"/>
                <w:szCs w:val="20"/>
              </w:rPr>
            </w:pPr>
            <w:r w:rsidRPr="001A7FF1">
              <w:rPr>
                <w:sz w:val="20"/>
                <w:szCs w:val="20"/>
              </w:rPr>
              <w:t>O</w:t>
            </w:r>
          </w:p>
        </w:tc>
      </w:tr>
      <w:tr w:rsidR="0083244F" w:rsidRPr="001A7FF1" w:rsidTr="005F2E9D">
        <w:trPr>
          <w:jc w:val="center"/>
        </w:trPr>
        <w:tc>
          <w:tcPr>
            <w:tcW w:w="0" w:type="auto"/>
            <w:tcBorders>
              <w:top w:val="nil"/>
            </w:tcBorders>
            <w:shd w:val="clear" w:color="auto" w:fill="auto"/>
          </w:tcPr>
          <w:p w:rsidR="0083244F" w:rsidRPr="001A7FF1" w:rsidRDefault="0083244F" w:rsidP="005F2E9D">
            <w:pPr>
              <w:spacing w:line="240" w:lineRule="exact"/>
              <w:jc w:val="center"/>
              <w:rPr>
                <w:sz w:val="20"/>
                <w:szCs w:val="20"/>
              </w:rPr>
            </w:pPr>
            <w:r w:rsidRPr="001A7FF1">
              <w:rPr>
                <w:sz w:val="20"/>
                <w:szCs w:val="20"/>
              </w:rPr>
              <w:t>B</w:t>
            </w:r>
          </w:p>
        </w:tc>
        <w:tc>
          <w:tcPr>
            <w:tcW w:w="0" w:type="auto"/>
            <w:tcBorders>
              <w:top w:val="nil"/>
            </w:tcBorders>
            <w:shd w:val="clear" w:color="auto" w:fill="auto"/>
          </w:tcPr>
          <w:p w:rsidR="0083244F" w:rsidRPr="001A7FF1" w:rsidRDefault="0083244F" w:rsidP="005F2E9D">
            <w:pPr>
              <w:spacing w:line="240" w:lineRule="exact"/>
              <w:jc w:val="center"/>
              <w:rPr>
                <w:sz w:val="20"/>
                <w:szCs w:val="20"/>
              </w:rPr>
            </w:pPr>
            <w:r w:rsidRPr="001A7FF1">
              <w:rPr>
                <w:sz w:val="20"/>
                <w:szCs w:val="20"/>
              </w:rPr>
              <w:t>O</w:t>
            </w:r>
          </w:p>
        </w:tc>
        <w:tc>
          <w:tcPr>
            <w:tcW w:w="0" w:type="auto"/>
            <w:tcBorders>
              <w:top w:val="nil"/>
            </w:tcBorders>
            <w:shd w:val="clear" w:color="auto" w:fill="auto"/>
          </w:tcPr>
          <w:p w:rsidR="0083244F" w:rsidRPr="001A7FF1" w:rsidRDefault="0083244F" w:rsidP="005F2E9D">
            <w:pPr>
              <w:spacing w:line="240" w:lineRule="exact"/>
              <w:jc w:val="center"/>
              <w:rPr>
                <w:sz w:val="20"/>
                <w:szCs w:val="20"/>
              </w:rPr>
            </w:pPr>
            <w:r w:rsidRPr="001A7FF1">
              <w:rPr>
                <w:sz w:val="20"/>
                <w:szCs w:val="20"/>
              </w:rPr>
              <w:t>X</w:t>
            </w:r>
            <w:r w:rsidRPr="001A7FF1">
              <w:rPr>
                <w:sz w:val="20"/>
                <w:szCs w:val="20"/>
                <w:vertAlign w:val="subscript"/>
              </w:rPr>
              <w:t>2</w:t>
            </w:r>
          </w:p>
        </w:tc>
        <w:tc>
          <w:tcPr>
            <w:tcW w:w="0" w:type="auto"/>
            <w:tcBorders>
              <w:top w:val="nil"/>
            </w:tcBorders>
            <w:shd w:val="clear" w:color="auto" w:fill="auto"/>
          </w:tcPr>
          <w:p w:rsidR="0083244F" w:rsidRPr="001A7FF1" w:rsidRDefault="0083244F" w:rsidP="005F2E9D">
            <w:pPr>
              <w:spacing w:line="240" w:lineRule="exact"/>
              <w:jc w:val="center"/>
              <w:rPr>
                <w:sz w:val="20"/>
                <w:szCs w:val="20"/>
              </w:rPr>
            </w:pPr>
            <w:r w:rsidRPr="001A7FF1">
              <w:rPr>
                <w:sz w:val="20"/>
                <w:szCs w:val="20"/>
              </w:rPr>
              <w:t>O</w:t>
            </w:r>
          </w:p>
        </w:tc>
      </w:tr>
      <w:tr w:rsidR="0083244F" w:rsidRPr="001A7FF1" w:rsidTr="005F2E9D">
        <w:trPr>
          <w:jc w:val="center"/>
        </w:trPr>
        <w:tc>
          <w:tcPr>
            <w:tcW w:w="0" w:type="auto"/>
            <w:shd w:val="clear" w:color="auto" w:fill="auto"/>
          </w:tcPr>
          <w:p w:rsidR="0083244F" w:rsidRPr="001A7FF1" w:rsidRDefault="0083244F" w:rsidP="005F2E9D">
            <w:pPr>
              <w:spacing w:line="240" w:lineRule="exact"/>
              <w:jc w:val="center"/>
              <w:rPr>
                <w:sz w:val="20"/>
                <w:szCs w:val="20"/>
              </w:rPr>
            </w:pPr>
            <w:r w:rsidRPr="001A7FF1">
              <w:rPr>
                <w:sz w:val="20"/>
                <w:szCs w:val="20"/>
              </w:rPr>
              <w:t>C</w:t>
            </w:r>
          </w:p>
        </w:tc>
        <w:tc>
          <w:tcPr>
            <w:tcW w:w="0" w:type="auto"/>
            <w:shd w:val="clear" w:color="auto" w:fill="auto"/>
          </w:tcPr>
          <w:p w:rsidR="0083244F" w:rsidRPr="001A7FF1" w:rsidRDefault="0083244F" w:rsidP="005F2E9D">
            <w:pPr>
              <w:spacing w:line="240" w:lineRule="exact"/>
              <w:jc w:val="center"/>
              <w:rPr>
                <w:sz w:val="20"/>
                <w:szCs w:val="20"/>
              </w:rPr>
            </w:pPr>
            <w:r w:rsidRPr="001A7FF1">
              <w:rPr>
                <w:sz w:val="20"/>
                <w:szCs w:val="20"/>
              </w:rPr>
              <w:t>O</w:t>
            </w:r>
          </w:p>
        </w:tc>
        <w:tc>
          <w:tcPr>
            <w:tcW w:w="0" w:type="auto"/>
            <w:shd w:val="clear" w:color="auto" w:fill="auto"/>
          </w:tcPr>
          <w:p w:rsidR="0083244F" w:rsidRPr="001A7FF1" w:rsidRDefault="0083244F" w:rsidP="005F2E9D">
            <w:pPr>
              <w:spacing w:line="240" w:lineRule="exact"/>
              <w:jc w:val="center"/>
              <w:rPr>
                <w:sz w:val="20"/>
                <w:szCs w:val="20"/>
              </w:rPr>
            </w:pPr>
            <w:r w:rsidRPr="001A7FF1">
              <w:rPr>
                <w:sz w:val="20"/>
                <w:szCs w:val="20"/>
              </w:rPr>
              <w:t>X</w:t>
            </w:r>
            <w:r w:rsidRPr="001A7FF1">
              <w:rPr>
                <w:sz w:val="20"/>
                <w:szCs w:val="20"/>
                <w:vertAlign w:val="subscript"/>
              </w:rPr>
              <w:t>3</w:t>
            </w:r>
          </w:p>
        </w:tc>
        <w:tc>
          <w:tcPr>
            <w:tcW w:w="0" w:type="auto"/>
            <w:shd w:val="clear" w:color="auto" w:fill="auto"/>
          </w:tcPr>
          <w:p w:rsidR="0083244F" w:rsidRPr="001A7FF1" w:rsidRDefault="0083244F" w:rsidP="005F2E9D">
            <w:pPr>
              <w:spacing w:line="240" w:lineRule="exact"/>
              <w:jc w:val="center"/>
              <w:rPr>
                <w:sz w:val="20"/>
                <w:szCs w:val="20"/>
              </w:rPr>
            </w:pPr>
            <w:r w:rsidRPr="001A7FF1">
              <w:rPr>
                <w:sz w:val="20"/>
                <w:szCs w:val="20"/>
              </w:rPr>
              <w:t>O</w:t>
            </w:r>
          </w:p>
        </w:tc>
      </w:tr>
    </w:tbl>
    <w:p w:rsidR="0083244F" w:rsidRPr="001A7FF1" w:rsidRDefault="0083244F" w:rsidP="005F2E9D">
      <w:pPr>
        <w:pStyle w:val="text"/>
      </w:pPr>
      <w:r w:rsidRPr="001A7FF1">
        <w:t xml:space="preserve">Pre-test was </w:t>
      </w:r>
      <w:r w:rsidRPr="001A7FF1">
        <w:rPr>
          <w:lang w:val="id-ID"/>
        </w:rPr>
        <w:t>carried out</w:t>
      </w:r>
      <w:r w:rsidRPr="001A7FF1">
        <w:t xml:space="preserve"> before </w:t>
      </w:r>
      <w:r w:rsidRPr="001A7FF1">
        <w:rPr>
          <w:lang w:val="id-ID"/>
        </w:rPr>
        <w:t xml:space="preserve">the </w:t>
      </w:r>
      <w:r w:rsidRPr="001A7FF1">
        <w:t xml:space="preserve">learning begins, while post-test was conducted when the subject is studied. The test consists of 9 questions with three types namely plural choices, true/false, and descriptions. Students must provide a reason or solution to answer each question. Tests were </w:t>
      </w:r>
      <w:r w:rsidRPr="001A7FF1">
        <w:rPr>
          <w:lang w:val="id-ID"/>
        </w:rPr>
        <w:t xml:space="preserve">carried out </w:t>
      </w:r>
      <w:r w:rsidRPr="001A7FF1">
        <w:t xml:space="preserve">to measure the improvement of students' critical thinking skills </w:t>
      </w:r>
      <w:r w:rsidRPr="001A7FF1">
        <w:rPr>
          <w:lang w:val="id-ID"/>
        </w:rPr>
        <w:t>by using</w:t>
      </w:r>
      <w:r w:rsidRPr="001A7FF1">
        <w:t xml:space="preserve"> </w:t>
      </w:r>
      <w:r w:rsidRPr="001A7FF1">
        <w:rPr>
          <w:lang w:val="id-ID"/>
        </w:rPr>
        <w:t>assessment</w:t>
      </w:r>
      <w:r w:rsidRPr="001A7FF1">
        <w:t xml:space="preserve"> rubrics as </w:t>
      </w:r>
      <w:r w:rsidRPr="001A7FF1">
        <w:rPr>
          <w:lang w:val="id-ID"/>
        </w:rPr>
        <w:t xml:space="preserve">shown </w:t>
      </w:r>
      <w:r w:rsidRPr="001A7FF1">
        <w:t>in Table 2</w:t>
      </w:r>
      <w:r w:rsidRPr="001A7FF1">
        <w:rPr>
          <w:lang w:val="id-ID"/>
        </w:rPr>
        <w:t>.</w:t>
      </w:r>
    </w:p>
    <w:p w:rsidR="005F2E9D" w:rsidRDefault="005F2E9D" w:rsidP="005F2E9D">
      <w:pPr>
        <w:pStyle w:val="text"/>
        <w:rPr>
          <w:position w:val="-1"/>
        </w:rPr>
      </w:pPr>
    </w:p>
    <w:p w:rsidR="0083244F" w:rsidRPr="001A7FF1" w:rsidRDefault="0083244F" w:rsidP="005F2E9D">
      <w:pPr>
        <w:pStyle w:val="text"/>
      </w:pPr>
      <w:r w:rsidRPr="001A7FF1">
        <w:rPr>
          <w:position w:val="-1"/>
        </w:rPr>
        <w:t>T</w:t>
      </w:r>
      <w:r w:rsidRPr="001A7FF1">
        <w:rPr>
          <w:spacing w:val="-1"/>
          <w:position w:val="-1"/>
        </w:rPr>
        <w:t>a</w:t>
      </w:r>
      <w:r w:rsidRPr="001A7FF1">
        <w:rPr>
          <w:position w:val="-1"/>
        </w:rPr>
        <w:t>bl</w:t>
      </w:r>
      <w:r w:rsidRPr="001A7FF1">
        <w:rPr>
          <w:position w:val="-1"/>
          <w:lang w:val="id-ID"/>
        </w:rPr>
        <w:t>e</w:t>
      </w:r>
      <w:r w:rsidRPr="001A7FF1">
        <w:rPr>
          <w:position w:val="-1"/>
        </w:rPr>
        <w:t xml:space="preserve"> </w:t>
      </w:r>
      <w:r w:rsidRPr="001A7FF1">
        <w:t>2</w:t>
      </w:r>
      <w:r w:rsidRPr="001A7FF1">
        <w:rPr>
          <w:position w:val="-1"/>
        </w:rPr>
        <w:t xml:space="preserve">. </w:t>
      </w:r>
      <w:r w:rsidRPr="001A7FF1">
        <w:rPr>
          <w:spacing w:val="1"/>
          <w:position w:val="-1"/>
        </w:rPr>
        <w:t>Critical Thinking Skills Assessment Score</w:t>
      </w:r>
    </w:p>
    <w:tbl>
      <w:tblPr>
        <w:tblW w:w="0" w:type="auto"/>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9"/>
        <w:gridCol w:w="8222"/>
      </w:tblGrid>
      <w:tr w:rsidR="0083244F" w:rsidRPr="001A7FF1" w:rsidTr="002C1A95">
        <w:trPr>
          <w:tblHeader/>
          <w:jc w:val="center"/>
        </w:trPr>
        <w:tc>
          <w:tcPr>
            <w:tcW w:w="709" w:type="dxa"/>
            <w:tcBorders>
              <w:bottom w:val="single" w:sz="4" w:space="0" w:color="auto"/>
            </w:tcBorders>
          </w:tcPr>
          <w:p w:rsidR="0083244F" w:rsidRPr="001A7FF1" w:rsidRDefault="0083244F" w:rsidP="002C1A95">
            <w:pPr>
              <w:autoSpaceDE w:val="0"/>
              <w:autoSpaceDN w:val="0"/>
              <w:adjustRightInd w:val="0"/>
              <w:spacing w:line="240" w:lineRule="exact"/>
              <w:rPr>
                <w:b/>
                <w:sz w:val="20"/>
                <w:szCs w:val="20"/>
              </w:rPr>
            </w:pPr>
            <w:r w:rsidRPr="001A7FF1">
              <w:rPr>
                <w:b/>
                <w:spacing w:val="1"/>
                <w:sz w:val="20"/>
                <w:szCs w:val="20"/>
              </w:rPr>
              <w:t>S</w:t>
            </w:r>
            <w:r w:rsidRPr="001A7FF1">
              <w:rPr>
                <w:b/>
                <w:sz w:val="20"/>
                <w:szCs w:val="20"/>
              </w:rPr>
              <w:t>core</w:t>
            </w:r>
          </w:p>
        </w:tc>
        <w:tc>
          <w:tcPr>
            <w:tcW w:w="8222" w:type="dxa"/>
            <w:tcBorders>
              <w:bottom w:val="single" w:sz="4" w:space="0" w:color="auto"/>
            </w:tcBorders>
          </w:tcPr>
          <w:p w:rsidR="0083244F" w:rsidRPr="001A7FF1" w:rsidRDefault="0083244F" w:rsidP="002C1A95">
            <w:pPr>
              <w:autoSpaceDE w:val="0"/>
              <w:autoSpaceDN w:val="0"/>
              <w:adjustRightInd w:val="0"/>
              <w:spacing w:line="240" w:lineRule="exact"/>
              <w:rPr>
                <w:b/>
                <w:sz w:val="20"/>
                <w:szCs w:val="20"/>
              </w:rPr>
            </w:pPr>
            <w:r w:rsidRPr="001A7FF1">
              <w:rPr>
                <w:b/>
                <w:spacing w:val="-3"/>
                <w:sz w:val="20"/>
                <w:szCs w:val="20"/>
              </w:rPr>
              <w:t>Rubric</w:t>
            </w:r>
          </w:p>
        </w:tc>
      </w:tr>
      <w:tr w:rsidR="0083244F" w:rsidRPr="001A7FF1" w:rsidTr="002C1A95">
        <w:trPr>
          <w:jc w:val="center"/>
        </w:trPr>
        <w:tc>
          <w:tcPr>
            <w:tcW w:w="709" w:type="dxa"/>
            <w:tcBorders>
              <w:top w:val="single" w:sz="4" w:space="0" w:color="auto"/>
              <w:bottom w:val="nil"/>
            </w:tcBorders>
          </w:tcPr>
          <w:p w:rsidR="0083244F" w:rsidRPr="001A7FF1" w:rsidRDefault="0083244F" w:rsidP="002C1A95">
            <w:pPr>
              <w:autoSpaceDE w:val="0"/>
              <w:autoSpaceDN w:val="0"/>
              <w:adjustRightInd w:val="0"/>
              <w:spacing w:line="240" w:lineRule="exact"/>
              <w:rPr>
                <w:sz w:val="20"/>
                <w:szCs w:val="20"/>
              </w:rPr>
            </w:pPr>
            <w:r w:rsidRPr="001A7FF1">
              <w:rPr>
                <w:sz w:val="20"/>
                <w:szCs w:val="20"/>
              </w:rPr>
              <w:t>5</w:t>
            </w:r>
          </w:p>
        </w:tc>
        <w:tc>
          <w:tcPr>
            <w:tcW w:w="8222" w:type="dxa"/>
            <w:tcBorders>
              <w:top w:val="single" w:sz="4" w:space="0" w:color="auto"/>
              <w:bottom w:val="nil"/>
            </w:tcBorders>
          </w:tcPr>
          <w:p w:rsidR="0083244F" w:rsidRPr="001A7FF1" w:rsidRDefault="0083244F" w:rsidP="002C1A95">
            <w:pPr>
              <w:autoSpaceDE w:val="0"/>
              <w:autoSpaceDN w:val="0"/>
              <w:adjustRightInd w:val="0"/>
              <w:spacing w:line="240" w:lineRule="exact"/>
              <w:rPr>
                <w:sz w:val="20"/>
                <w:szCs w:val="20"/>
              </w:rPr>
            </w:pPr>
            <w:r w:rsidRPr="001A7FF1">
              <w:rPr>
                <w:sz w:val="20"/>
                <w:szCs w:val="20"/>
              </w:rPr>
              <w:t>The answers given are correct, complete, clear, focused, and accurate. Points related to the question</w:t>
            </w:r>
            <w:r w:rsidRPr="001A7FF1">
              <w:rPr>
                <w:sz w:val="20"/>
                <w:szCs w:val="20"/>
                <w:lang w:val="id-ID"/>
              </w:rPr>
              <w:t>s</w:t>
            </w:r>
            <w:r w:rsidRPr="001A7FF1">
              <w:rPr>
                <w:sz w:val="20"/>
                <w:szCs w:val="20"/>
              </w:rPr>
              <w:t xml:space="preserve"> are clearly stated to support the answers given.</w:t>
            </w:r>
          </w:p>
        </w:tc>
      </w:tr>
      <w:tr w:rsidR="0083244F" w:rsidRPr="001A7FF1" w:rsidTr="002C1A95">
        <w:trPr>
          <w:jc w:val="center"/>
        </w:trPr>
        <w:tc>
          <w:tcPr>
            <w:tcW w:w="709" w:type="dxa"/>
            <w:tcBorders>
              <w:top w:val="nil"/>
            </w:tcBorders>
          </w:tcPr>
          <w:p w:rsidR="0083244F" w:rsidRPr="001A7FF1" w:rsidRDefault="0083244F" w:rsidP="002C1A95">
            <w:pPr>
              <w:autoSpaceDE w:val="0"/>
              <w:autoSpaceDN w:val="0"/>
              <w:adjustRightInd w:val="0"/>
              <w:spacing w:line="240" w:lineRule="exact"/>
              <w:rPr>
                <w:sz w:val="20"/>
                <w:szCs w:val="20"/>
              </w:rPr>
            </w:pPr>
            <w:r w:rsidRPr="001A7FF1">
              <w:rPr>
                <w:sz w:val="20"/>
                <w:szCs w:val="20"/>
              </w:rPr>
              <w:t>3</w:t>
            </w:r>
          </w:p>
        </w:tc>
        <w:tc>
          <w:tcPr>
            <w:tcW w:w="8222" w:type="dxa"/>
            <w:tcBorders>
              <w:top w:val="nil"/>
            </w:tcBorders>
          </w:tcPr>
          <w:p w:rsidR="0083244F" w:rsidRPr="0008400B" w:rsidRDefault="0083244F" w:rsidP="002C1A95">
            <w:pPr>
              <w:autoSpaceDE w:val="0"/>
              <w:autoSpaceDN w:val="0"/>
              <w:adjustRightInd w:val="0"/>
              <w:spacing w:line="240" w:lineRule="exact"/>
              <w:rPr>
                <w:rFonts w:hint="eastAsia"/>
                <w:sz w:val="20"/>
                <w:szCs w:val="20"/>
                <w:lang w:val="id-ID"/>
              </w:rPr>
            </w:pPr>
            <w:r w:rsidRPr="001A7FF1">
              <w:rPr>
                <w:sz w:val="20"/>
                <w:szCs w:val="20"/>
                <w:lang w:val="id-ID"/>
              </w:rPr>
              <w:t>The answers given are clear and sufficiently focused, but incomplete.</w:t>
            </w:r>
            <w:r w:rsidRPr="001A7FF1">
              <w:rPr>
                <w:sz w:val="20"/>
                <w:szCs w:val="20"/>
              </w:rPr>
              <w:t xml:space="preserve"> </w:t>
            </w:r>
            <w:r w:rsidRPr="001A7FF1">
              <w:rPr>
                <w:sz w:val="20"/>
                <w:szCs w:val="20"/>
                <w:lang w:val="id-ID"/>
              </w:rPr>
              <w:t>The connection between the answers and the questions is less accurate.</w:t>
            </w:r>
          </w:p>
        </w:tc>
      </w:tr>
      <w:tr w:rsidR="0083244F" w:rsidRPr="001A7FF1" w:rsidTr="002C1A95">
        <w:trPr>
          <w:jc w:val="center"/>
        </w:trPr>
        <w:tc>
          <w:tcPr>
            <w:tcW w:w="709" w:type="dxa"/>
          </w:tcPr>
          <w:p w:rsidR="0083244F" w:rsidRPr="001A7FF1" w:rsidRDefault="0083244F" w:rsidP="002C1A95">
            <w:pPr>
              <w:autoSpaceDE w:val="0"/>
              <w:autoSpaceDN w:val="0"/>
              <w:adjustRightInd w:val="0"/>
              <w:spacing w:line="240" w:lineRule="exact"/>
              <w:rPr>
                <w:sz w:val="20"/>
                <w:szCs w:val="20"/>
              </w:rPr>
            </w:pPr>
            <w:r w:rsidRPr="001A7FF1">
              <w:rPr>
                <w:sz w:val="20"/>
                <w:szCs w:val="20"/>
              </w:rPr>
              <w:t>1</w:t>
            </w:r>
          </w:p>
        </w:tc>
        <w:tc>
          <w:tcPr>
            <w:tcW w:w="8222" w:type="dxa"/>
          </w:tcPr>
          <w:p w:rsidR="0083244F" w:rsidRPr="001A7FF1" w:rsidRDefault="0083244F" w:rsidP="002C1A95">
            <w:pPr>
              <w:autoSpaceDE w:val="0"/>
              <w:autoSpaceDN w:val="0"/>
              <w:adjustRightInd w:val="0"/>
              <w:spacing w:line="240" w:lineRule="exact"/>
              <w:rPr>
                <w:sz w:val="20"/>
                <w:szCs w:val="20"/>
              </w:rPr>
            </w:pPr>
            <w:r w:rsidRPr="001A7FF1">
              <w:rPr>
                <w:sz w:val="20"/>
                <w:szCs w:val="20"/>
              </w:rPr>
              <w:t xml:space="preserve">The answers given are not in accordance with what is meant in the question, </w:t>
            </w:r>
            <w:r w:rsidRPr="001A7FF1">
              <w:rPr>
                <w:sz w:val="20"/>
                <w:szCs w:val="20"/>
                <w:lang w:val="id-ID"/>
              </w:rPr>
              <w:t xml:space="preserve">it </w:t>
            </w:r>
            <w:r w:rsidRPr="001A7FF1">
              <w:rPr>
                <w:sz w:val="20"/>
                <w:szCs w:val="20"/>
              </w:rPr>
              <w:t>contain</w:t>
            </w:r>
            <w:r w:rsidRPr="001A7FF1">
              <w:rPr>
                <w:sz w:val="20"/>
                <w:szCs w:val="20"/>
                <w:lang w:val="id-ID"/>
              </w:rPr>
              <w:t>s</w:t>
            </w:r>
            <w:r w:rsidRPr="001A7FF1">
              <w:rPr>
                <w:sz w:val="20"/>
                <w:szCs w:val="20"/>
              </w:rPr>
              <w:t xml:space="preserve"> inaccurate information, or </w:t>
            </w:r>
            <w:r w:rsidRPr="001A7FF1">
              <w:rPr>
                <w:sz w:val="20"/>
                <w:szCs w:val="20"/>
                <w:lang w:val="id-ID"/>
              </w:rPr>
              <w:t xml:space="preserve">it </w:t>
            </w:r>
            <w:r w:rsidRPr="001A7FF1">
              <w:rPr>
                <w:sz w:val="20"/>
                <w:szCs w:val="20"/>
              </w:rPr>
              <w:t>indicate</w:t>
            </w:r>
            <w:r w:rsidRPr="001A7FF1">
              <w:rPr>
                <w:sz w:val="20"/>
                <w:szCs w:val="20"/>
                <w:lang w:val="id-ID"/>
              </w:rPr>
              <w:t>s</w:t>
            </w:r>
            <w:r w:rsidRPr="001A7FF1">
              <w:rPr>
                <w:sz w:val="20"/>
                <w:szCs w:val="20"/>
              </w:rPr>
              <w:t xml:space="preserve"> a lack of mastery of the material.</w:t>
            </w:r>
          </w:p>
        </w:tc>
      </w:tr>
      <w:tr w:rsidR="0083244F" w:rsidRPr="001A7FF1" w:rsidTr="002C1A95">
        <w:trPr>
          <w:jc w:val="center"/>
        </w:trPr>
        <w:tc>
          <w:tcPr>
            <w:tcW w:w="709" w:type="dxa"/>
          </w:tcPr>
          <w:p w:rsidR="0083244F" w:rsidRPr="001A7FF1" w:rsidRDefault="0083244F" w:rsidP="002C1A95">
            <w:pPr>
              <w:autoSpaceDE w:val="0"/>
              <w:autoSpaceDN w:val="0"/>
              <w:adjustRightInd w:val="0"/>
              <w:spacing w:line="240" w:lineRule="exact"/>
              <w:rPr>
                <w:sz w:val="20"/>
                <w:szCs w:val="20"/>
              </w:rPr>
            </w:pPr>
            <w:r w:rsidRPr="001A7FF1">
              <w:rPr>
                <w:sz w:val="20"/>
                <w:szCs w:val="20"/>
              </w:rPr>
              <w:t>0</w:t>
            </w:r>
          </w:p>
        </w:tc>
        <w:tc>
          <w:tcPr>
            <w:tcW w:w="8222" w:type="dxa"/>
          </w:tcPr>
          <w:p w:rsidR="0083244F" w:rsidRPr="001A7FF1" w:rsidRDefault="0083244F" w:rsidP="002C1A95">
            <w:pPr>
              <w:autoSpaceDE w:val="0"/>
              <w:autoSpaceDN w:val="0"/>
              <w:adjustRightInd w:val="0"/>
              <w:spacing w:line="240" w:lineRule="exact"/>
              <w:rPr>
                <w:sz w:val="20"/>
                <w:szCs w:val="20"/>
              </w:rPr>
            </w:pPr>
            <w:r w:rsidRPr="001A7FF1">
              <w:rPr>
                <w:sz w:val="20"/>
                <w:szCs w:val="20"/>
                <w:lang w:val="id-ID"/>
              </w:rPr>
              <w:t>No answer</w:t>
            </w:r>
          </w:p>
        </w:tc>
      </w:tr>
    </w:tbl>
    <w:p w:rsidR="0083244F" w:rsidRPr="001A7FF1" w:rsidRDefault="0083244F" w:rsidP="00CD3A2B">
      <w:pPr>
        <w:pStyle w:val="text"/>
      </w:pPr>
      <w:r w:rsidRPr="001A7FF1">
        <w:rPr>
          <w:spacing w:val="1"/>
        </w:rPr>
        <w:t>(S</w:t>
      </w:r>
      <w:r w:rsidRPr="001A7FF1">
        <w:t>ti</w:t>
      </w:r>
      <w:r w:rsidRPr="001A7FF1">
        <w:rPr>
          <w:spacing w:val="-2"/>
        </w:rPr>
        <w:t>gg</w:t>
      </w:r>
      <w:r w:rsidRPr="001A7FF1">
        <w:t>ins, 1994)</w:t>
      </w:r>
    </w:p>
    <w:p w:rsidR="00CD3A2B" w:rsidRDefault="00CD3A2B" w:rsidP="00CD3A2B">
      <w:pPr>
        <w:pStyle w:val="text"/>
        <w:rPr>
          <w:lang w:val="id-ID"/>
        </w:rPr>
      </w:pPr>
    </w:p>
    <w:p w:rsidR="0083244F" w:rsidRDefault="0083244F" w:rsidP="00CD3A2B">
      <w:pPr>
        <w:pStyle w:val="text"/>
      </w:pPr>
      <w:r w:rsidRPr="001A7FF1">
        <w:rPr>
          <w:lang w:val="id-ID"/>
        </w:rPr>
        <w:t xml:space="preserve">The effectiveness of learning activities from the three types of ongoing assessment tests are seen based on the N-Gain value. </w:t>
      </w:r>
      <w:r w:rsidRPr="001A7FF1">
        <w:t xml:space="preserve">The N-gain value shows how much the student's ability increases after learning. </w:t>
      </w:r>
      <w:r w:rsidRPr="001A7FF1">
        <w:rPr>
          <w:lang w:val="id-ID"/>
        </w:rPr>
        <w:t>The N-Gain data is converted according to Table 3.</w:t>
      </w:r>
      <w:r w:rsidRPr="001A7FF1">
        <w:t xml:space="preserve"> </w:t>
      </w:r>
    </w:p>
    <w:p w:rsidR="00CD3A2B" w:rsidRPr="001A7FF1" w:rsidRDefault="00CD3A2B" w:rsidP="00CD3A2B">
      <w:pPr>
        <w:pStyle w:val="text"/>
      </w:pPr>
    </w:p>
    <w:p w:rsidR="0083244F" w:rsidRPr="001A7FF1" w:rsidRDefault="0083244F" w:rsidP="00CD3A2B">
      <w:pPr>
        <w:pStyle w:val="text"/>
      </w:pPr>
      <w:r w:rsidRPr="001A7FF1">
        <w:t xml:space="preserve">Table </w:t>
      </w:r>
      <w:r w:rsidRPr="001A7FF1">
        <w:rPr>
          <w:lang w:val="id-ID"/>
        </w:rPr>
        <w:t>3</w:t>
      </w:r>
      <w:r w:rsidRPr="001A7FF1">
        <w:t>. the mean score of N-</w:t>
      </w:r>
      <w:r w:rsidRPr="001A7FF1">
        <w:rPr>
          <w:iCs/>
        </w:rPr>
        <w:t>Gain</w:t>
      </w:r>
      <w:r w:rsidRPr="001A7FF1">
        <w:t xml:space="preserve"> </w:t>
      </w:r>
      <w:r w:rsidRPr="001A7FF1">
        <w:rPr>
          <w:lang w:val="id-ID"/>
        </w:rPr>
        <w:t>and C</w:t>
      </w:r>
      <w:r w:rsidRPr="001A7FF1">
        <w:t>ategory</w:t>
      </w:r>
    </w:p>
    <w:tbl>
      <w:tblPr>
        <w:tblW w:w="0" w:type="auto"/>
        <w:jc w:val="center"/>
        <w:tblBorders>
          <w:top w:val="single" w:sz="4" w:space="0" w:color="auto"/>
          <w:bottom w:val="single" w:sz="4" w:space="0" w:color="auto"/>
        </w:tblBorders>
        <w:tblLook w:val="04A0" w:firstRow="1" w:lastRow="0" w:firstColumn="1" w:lastColumn="0" w:noHBand="0" w:noVBand="1"/>
      </w:tblPr>
      <w:tblGrid>
        <w:gridCol w:w="1425"/>
        <w:gridCol w:w="1372"/>
      </w:tblGrid>
      <w:tr w:rsidR="0083244F" w:rsidRPr="001A7FF1" w:rsidTr="00CD3A2B">
        <w:trPr>
          <w:jc w:val="center"/>
        </w:trPr>
        <w:tc>
          <w:tcPr>
            <w:tcW w:w="0" w:type="auto"/>
            <w:tcBorders>
              <w:top w:val="single" w:sz="4" w:space="0" w:color="auto"/>
              <w:bottom w:val="single" w:sz="4" w:space="0" w:color="auto"/>
            </w:tcBorders>
            <w:shd w:val="clear" w:color="auto" w:fill="auto"/>
            <w:vAlign w:val="center"/>
          </w:tcPr>
          <w:p w:rsidR="0083244F" w:rsidRPr="001A7FF1" w:rsidRDefault="0083244F" w:rsidP="00CD3A2B">
            <w:pPr>
              <w:autoSpaceDE w:val="0"/>
              <w:autoSpaceDN w:val="0"/>
              <w:adjustRightInd w:val="0"/>
              <w:spacing w:line="240" w:lineRule="exact"/>
              <w:rPr>
                <w:rFonts w:eastAsia="Calibri"/>
                <w:b/>
                <w:bCs/>
                <w:sz w:val="20"/>
                <w:szCs w:val="20"/>
              </w:rPr>
            </w:pPr>
            <w:r w:rsidRPr="001A7FF1">
              <w:rPr>
                <w:rFonts w:eastAsia="Calibri"/>
                <w:b/>
                <w:bCs/>
                <w:sz w:val="20"/>
                <w:szCs w:val="20"/>
              </w:rPr>
              <w:t xml:space="preserve">Mean </w:t>
            </w:r>
            <w:r w:rsidRPr="001A7FF1">
              <w:rPr>
                <w:rFonts w:eastAsia="Calibri"/>
                <w:b/>
                <w:bCs/>
                <w:iCs/>
                <w:sz w:val="20"/>
                <w:szCs w:val="20"/>
              </w:rPr>
              <w:t>N-Gain</w:t>
            </w:r>
          </w:p>
        </w:tc>
        <w:tc>
          <w:tcPr>
            <w:tcW w:w="0" w:type="auto"/>
            <w:tcBorders>
              <w:top w:val="single" w:sz="4" w:space="0" w:color="auto"/>
              <w:bottom w:val="single" w:sz="4" w:space="0" w:color="auto"/>
            </w:tcBorders>
            <w:shd w:val="clear" w:color="auto" w:fill="auto"/>
            <w:vAlign w:val="center"/>
          </w:tcPr>
          <w:p w:rsidR="0083244F" w:rsidRPr="001A7FF1" w:rsidRDefault="0083244F" w:rsidP="00CD3A2B">
            <w:pPr>
              <w:autoSpaceDE w:val="0"/>
              <w:autoSpaceDN w:val="0"/>
              <w:adjustRightInd w:val="0"/>
              <w:spacing w:line="240" w:lineRule="exact"/>
              <w:rPr>
                <w:rFonts w:eastAsia="Calibri"/>
                <w:b/>
                <w:bCs/>
                <w:sz w:val="20"/>
                <w:szCs w:val="20"/>
              </w:rPr>
            </w:pPr>
            <w:r w:rsidRPr="001A7FF1">
              <w:rPr>
                <w:rFonts w:eastAsia="Calibri"/>
                <w:b/>
                <w:bCs/>
                <w:sz w:val="20"/>
                <w:szCs w:val="20"/>
              </w:rPr>
              <w:t>Classification</w:t>
            </w:r>
          </w:p>
        </w:tc>
      </w:tr>
      <w:tr w:rsidR="0083244F" w:rsidRPr="001A7FF1" w:rsidTr="00CD3A2B">
        <w:trPr>
          <w:jc w:val="center"/>
        </w:trPr>
        <w:tc>
          <w:tcPr>
            <w:tcW w:w="0" w:type="auto"/>
            <w:tcBorders>
              <w:top w:val="single" w:sz="4" w:space="0" w:color="auto"/>
            </w:tcBorders>
            <w:shd w:val="clear" w:color="auto" w:fill="auto"/>
            <w:vAlign w:val="center"/>
          </w:tcPr>
          <w:p w:rsidR="0083244F" w:rsidRPr="001A7FF1" w:rsidRDefault="0083244F" w:rsidP="00CD3A2B">
            <w:pPr>
              <w:autoSpaceDE w:val="0"/>
              <w:autoSpaceDN w:val="0"/>
              <w:adjustRightInd w:val="0"/>
              <w:spacing w:line="240" w:lineRule="exact"/>
              <w:rPr>
                <w:rFonts w:eastAsia="Calibri"/>
                <w:sz w:val="20"/>
                <w:szCs w:val="20"/>
              </w:rPr>
            </w:pPr>
            <w:r w:rsidRPr="001A7FF1">
              <w:rPr>
                <w:rFonts w:eastAsia="Calibri"/>
                <w:iCs/>
                <w:sz w:val="20"/>
                <w:szCs w:val="20"/>
              </w:rPr>
              <w:t>(g)</w:t>
            </w:r>
            <w:r w:rsidRPr="001A7FF1">
              <w:rPr>
                <w:rFonts w:eastAsia="Calibri"/>
                <w:sz w:val="20"/>
                <w:szCs w:val="20"/>
              </w:rPr>
              <w:t>&gt; 0,70</w:t>
            </w:r>
          </w:p>
        </w:tc>
        <w:tc>
          <w:tcPr>
            <w:tcW w:w="0" w:type="auto"/>
            <w:tcBorders>
              <w:top w:val="single" w:sz="4" w:space="0" w:color="auto"/>
            </w:tcBorders>
            <w:shd w:val="clear" w:color="auto" w:fill="auto"/>
            <w:vAlign w:val="center"/>
          </w:tcPr>
          <w:p w:rsidR="0083244F" w:rsidRPr="001A7FF1" w:rsidRDefault="0083244F" w:rsidP="00CD3A2B">
            <w:pPr>
              <w:autoSpaceDE w:val="0"/>
              <w:autoSpaceDN w:val="0"/>
              <w:adjustRightInd w:val="0"/>
              <w:spacing w:line="240" w:lineRule="exact"/>
              <w:rPr>
                <w:rFonts w:eastAsia="Calibri"/>
                <w:sz w:val="20"/>
                <w:szCs w:val="20"/>
              </w:rPr>
            </w:pPr>
            <w:r w:rsidRPr="001A7FF1">
              <w:rPr>
                <w:rFonts w:eastAsia="Calibri"/>
                <w:sz w:val="20"/>
                <w:szCs w:val="20"/>
              </w:rPr>
              <w:t>High</w:t>
            </w:r>
          </w:p>
        </w:tc>
      </w:tr>
      <w:tr w:rsidR="0083244F" w:rsidRPr="001A7FF1" w:rsidTr="00CD3A2B">
        <w:trPr>
          <w:jc w:val="center"/>
        </w:trPr>
        <w:tc>
          <w:tcPr>
            <w:tcW w:w="0" w:type="auto"/>
            <w:shd w:val="clear" w:color="auto" w:fill="auto"/>
            <w:vAlign w:val="center"/>
          </w:tcPr>
          <w:p w:rsidR="0083244F" w:rsidRPr="001A7FF1" w:rsidRDefault="0083244F" w:rsidP="00CD3A2B">
            <w:pPr>
              <w:autoSpaceDE w:val="0"/>
              <w:autoSpaceDN w:val="0"/>
              <w:adjustRightInd w:val="0"/>
              <w:spacing w:line="240" w:lineRule="exact"/>
              <w:rPr>
                <w:rFonts w:eastAsia="Calibri"/>
                <w:sz w:val="20"/>
                <w:szCs w:val="20"/>
              </w:rPr>
            </w:pPr>
            <w:r w:rsidRPr="001A7FF1">
              <w:rPr>
                <w:rFonts w:eastAsia="Calibri"/>
                <w:sz w:val="20"/>
                <w:szCs w:val="20"/>
              </w:rPr>
              <w:t>0,30</w:t>
            </w:r>
            <w:r w:rsidRPr="001A7FF1">
              <w:rPr>
                <w:rFonts w:eastAsia="Calibri"/>
                <w:iCs/>
                <w:sz w:val="20"/>
                <w:szCs w:val="20"/>
              </w:rPr>
              <w:t>&lt;(g)</w:t>
            </w:r>
            <w:r w:rsidRPr="001A7FF1">
              <w:rPr>
                <w:rFonts w:eastAsia="Calibri"/>
                <w:sz w:val="20"/>
                <w:szCs w:val="20"/>
              </w:rPr>
              <w:t>&gt; 0,70</w:t>
            </w:r>
          </w:p>
        </w:tc>
        <w:tc>
          <w:tcPr>
            <w:tcW w:w="0" w:type="auto"/>
            <w:shd w:val="clear" w:color="auto" w:fill="auto"/>
            <w:vAlign w:val="center"/>
          </w:tcPr>
          <w:p w:rsidR="0083244F" w:rsidRPr="001A7FF1" w:rsidRDefault="0083244F" w:rsidP="00CD3A2B">
            <w:pPr>
              <w:autoSpaceDE w:val="0"/>
              <w:autoSpaceDN w:val="0"/>
              <w:adjustRightInd w:val="0"/>
              <w:spacing w:line="240" w:lineRule="exact"/>
              <w:rPr>
                <w:rFonts w:eastAsia="Calibri"/>
                <w:sz w:val="20"/>
                <w:szCs w:val="20"/>
              </w:rPr>
            </w:pPr>
            <w:r w:rsidRPr="001A7FF1">
              <w:rPr>
                <w:rFonts w:eastAsia="Calibri"/>
                <w:sz w:val="20"/>
                <w:szCs w:val="20"/>
              </w:rPr>
              <w:t>Medium</w:t>
            </w:r>
          </w:p>
        </w:tc>
      </w:tr>
      <w:tr w:rsidR="0083244F" w:rsidRPr="001A7FF1" w:rsidTr="00CD3A2B">
        <w:trPr>
          <w:jc w:val="center"/>
        </w:trPr>
        <w:tc>
          <w:tcPr>
            <w:tcW w:w="0" w:type="auto"/>
            <w:shd w:val="clear" w:color="auto" w:fill="auto"/>
            <w:vAlign w:val="center"/>
          </w:tcPr>
          <w:p w:rsidR="0083244F" w:rsidRPr="001A7FF1" w:rsidRDefault="0083244F" w:rsidP="00CD3A2B">
            <w:pPr>
              <w:autoSpaceDE w:val="0"/>
              <w:autoSpaceDN w:val="0"/>
              <w:adjustRightInd w:val="0"/>
              <w:spacing w:line="240" w:lineRule="exact"/>
              <w:rPr>
                <w:rFonts w:eastAsia="Calibri"/>
                <w:sz w:val="20"/>
                <w:szCs w:val="20"/>
              </w:rPr>
            </w:pPr>
            <w:r w:rsidRPr="001A7FF1">
              <w:rPr>
                <w:rFonts w:eastAsia="Calibri"/>
                <w:sz w:val="20"/>
                <w:szCs w:val="20"/>
              </w:rPr>
              <w:t>0,30</w:t>
            </w:r>
            <w:r w:rsidRPr="001A7FF1">
              <w:rPr>
                <w:rFonts w:eastAsia="Calibri"/>
                <w:iCs/>
                <w:sz w:val="20"/>
                <w:szCs w:val="20"/>
              </w:rPr>
              <w:t>&gt;(g)</w:t>
            </w:r>
          </w:p>
        </w:tc>
        <w:tc>
          <w:tcPr>
            <w:tcW w:w="0" w:type="auto"/>
            <w:shd w:val="clear" w:color="auto" w:fill="auto"/>
            <w:vAlign w:val="center"/>
          </w:tcPr>
          <w:p w:rsidR="0083244F" w:rsidRPr="001A7FF1" w:rsidRDefault="0083244F" w:rsidP="00CD3A2B">
            <w:pPr>
              <w:autoSpaceDE w:val="0"/>
              <w:autoSpaceDN w:val="0"/>
              <w:adjustRightInd w:val="0"/>
              <w:spacing w:line="240" w:lineRule="exact"/>
              <w:rPr>
                <w:rFonts w:eastAsia="Calibri"/>
                <w:sz w:val="20"/>
                <w:szCs w:val="20"/>
              </w:rPr>
            </w:pPr>
            <w:r w:rsidRPr="001A7FF1">
              <w:rPr>
                <w:rFonts w:eastAsia="Calibri"/>
                <w:sz w:val="20"/>
                <w:szCs w:val="20"/>
              </w:rPr>
              <w:t>Low</w:t>
            </w:r>
          </w:p>
        </w:tc>
      </w:tr>
    </w:tbl>
    <w:p w:rsidR="0083244F" w:rsidRPr="001A7FF1" w:rsidRDefault="0083244F" w:rsidP="00CD3A2B">
      <w:pPr>
        <w:pStyle w:val="text"/>
      </w:pPr>
      <w:r w:rsidRPr="001A7FF1">
        <w:t>(Hake, 1998)</w:t>
      </w:r>
    </w:p>
    <w:p w:rsidR="00CD3A2B" w:rsidRDefault="00CD3A2B" w:rsidP="00CD3A2B">
      <w:pPr>
        <w:pStyle w:val="text"/>
      </w:pPr>
    </w:p>
    <w:p w:rsidR="0083244F" w:rsidRPr="00572288" w:rsidRDefault="0083244F" w:rsidP="00CD3A2B">
      <w:pPr>
        <w:pStyle w:val="text"/>
        <w:rPr>
          <w:b/>
        </w:rPr>
      </w:pPr>
      <w:bookmarkStart w:id="2" w:name="_GoBack"/>
      <w:r w:rsidRPr="00572288">
        <w:rPr>
          <w:b/>
        </w:rPr>
        <w:t>3. Results</w:t>
      </w:r>
    </w:p>
    <w:bookmarkEnd w:id="2"/>
    <w:p w:rsidR="0083244F" w:rsidRPr="001A7FF1" w:rsidRDefault="0083244F" w:rsidP="00CD3A2B">
      <w:pPr>
        <w:pStyle w:val="text"/>
      </w:pPr>
      <w:r w:rsidRPr="001A7FF1">
        <w:t xml:space="preserve">The product developed in this </w:t>
      </w:r>
      <w:r w:rsidRPr="001A7FF1">
        <w:rPr>
          <w:lang w:val="id-ID"/>
        </w:rPr>
        <w:t>research</w:t>
      </w:r>
      <w:r w:rsidRPr="001A7FF1">
        <w:t xml:space="preserve"> </w:t>
      </w:r>
      <w:r w:rsidRPr="001A7FF1">
        <w:rPr>
          <w:lang w:val="id-ID"/>
        </w:rPr>
        <w:t>is</w:t>
      </w:r>
      <w:r w:rsidRPr="001A7FF1">
        <w:t xml:space="preserve"> ongoing </w:t>
      </w:r>
      <w:r w:rsidRPr="001A7FF1">
        <w:rPr>
          <w:lang w:val="id-ID"/>
        </w:rPr>
        <w:t xml:space="preserve">assessment </w:t>
      </w:r>
      <w:r w:rsidRPr="001A7FF1">
        <w:t xml:space="preserve">on Work and Energy. Ongoing </w:t>
      </w:r>
      <w:r w:rsidRPr="001A7FF1">
        <w:rPr>
          <w:lang w:val="id-ID"/>
        </w:rPr>
        <w:t xml:space="preserve">assessment </w:t>
      </w:r>
      <w:r w:rsidRPr="001A7FF1">
        <w:t>aims to improve students' critical thinking skills and students' conceptual knowledge.</w:t>
      </w:r>
    </w:p>
    <w:p w:rsidR="0083244F" w:rsidRDefault="0083244F" w:rsidP="00CD3A2B">
      <w:pPr>
        <w:pStyle w:val="text"/>
      </w:pPr>
      <w:r w:rsidRPr="001A7FF1">
        <w:lastRenderedPageBreak/>
        <w:t xml:space="preserve">Ongoing assessment is developed in three types of questions, namely, </w:t>
      </w:r>
      <w:r w:rsidRPr="001A7FF1">
        <w:rPr>
          <w:lang w:val="id-ID"/>
        </w:rPr>
        <w:t>multiple</w:t>
      </w:r>
      <w:r w:rsidRPr="001A7FF1">
        <w:t xml:space="preserve"> choice, true-false, and e</w:t>
      </w:r>
      <w:r w:rsidRPr="001A7FF1">
        <w:rPr>
          <w:lang w:val="id-ID"/>
        </w:rPr>
        <w:t>s</w:t>
      </w:r>
      <w:r w:rsidRPr="001A7FF1">
        <w:t xml:space="preserve">say type. The </w:t>
      </w:r>
      <w:r w:rsidRPr="001A7FF1">
        <w:rPr>
          <w:lang w:val="id-ID"/>
        </w:rPr>
        <w:t>questions</w:t>
      </w:r>
      <w:r w:rsidRPr="001A7FF1">
        <w:t xml:space="preserve"> in the ongoing assessment were prepared based on indicators adjusted to basic competencies according to the curriculum used in schools and indicators of critical thinking in Bloom's taxonomy. The questions developed </w:t>
      </w:r>
      <w:r w:rsidRPr="001A7FF1">
        <w:rPr>
          <w:lang w:val="id-ID"/>
        </w:rPr>
        <w:t xml:space="preserve">are </w:t>
      </w:r>
      <w:r w:rsidRPr="001A7FF1">
        <w:t>mapped with each indicator proportionally. Table 4 presents a mapping between questions and indicators.</w:t>
      </w:r>
    </w:p>
    <w:p w:rsidR="00CD3A2B" w:rsidRPr="001A7FF1" w:rsidRDefault="00CD3A2B" w:rsidP="00CD3A2B">
      <w:pPr>
        <w:pStyle w:val="text"/>
      </w:pPr>
    </w:p>
    <w:p w:rsidR="0083244F" w:rsidRPr="001A7FF1" w:rsidRDefault="0083244F" w:rsidP="00CD3A2B">
      <w:pPr>
        <w:pStyle w:val="text"/>
      </w:pPr>
      <w:r w:rsidRPr="001A7FF1">
        <w:t xml:space="preserve">Table 4. </w:t>
      </w:r>
      <w:r w:rsidRPr="001A7FF1">
        <w:rPr>
          <w:lang w:val="id-ID"/>
        </w:rPr>
        <w:t>The Mapping of Questions and Indicators</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61"/>
        <w:gridCol w:w="1631"/>
        <w:gridCol w:w="4039"/>
      </w:tblGrid>
      <w:tr w:rsidR="0083244F" w:rsidRPr="001A7FF1" w:rsidTr="00572288">
        <w:trPr>
          <w:tblHeader/>
          <w:jc w:val="center"/>
        </w:trPr>
        <w:tc>
          <w:tcPr>
            <w:tcW w:w="3261" w:type="dxa"/>
            <w:shd w:val="clear" w:color="auto" w:fill="auto"/>
            <w:vAlign w:val="center"/>
          </w:tcPr>
          <w:p w:rsidR="0083244F" w:rsidRPr="001A7FF1" w:rsidRDefault="0083244F" w:rsidP="000F64CA">
            <w:pPr>
              <w:spacing w:line="240" w:lineRule="exact"/>
              <w:rPr>
                <w:rFonts w:eastAsia="Calibri"/>
                <w:b/>
                <w:sz w:val="20"/>
                <w:szCs w:val="20"/>
              </w:rPr>
            </w:pPr>
            <w:r w:rsidRPr="001A7FF1">
              <w:rPr>
                <w:rFonts w:eastAsia="Calibri"/>
                <w:b/>
                <w:sz w:val="20"/>
                <w:szCs w:val="20"/>
                <w:lang w:val="id-ID"/>
              </w:rPr>
              <w:t>Indicators of Competence Achievement</w:t>
            </w:r>
          </w:p>
        </w:tc>
        <w:tc>
          <w:tcPr>
            <w:tcW w:w="1631" w:type="dxa"/>
            <w:shd w:val="clear" w:color="auto" w:fill="auto"/>
            <w:vAlign w:val="center"/>
          </w:tcPr>
          <w:p w:rsidR="0083244F" w:rsidRPr="001A7FF1" w:rsidRDefault="0083244F" w:rsidP="000F64CA">
            <w:pPr>
              <w:spacing w:line="240" w:lineRule="exact"/>
              <w:rPr>
                <w:rFonts w:eastAsia="Calibri"/>
                <w:b/>
                <w:sz w:val="20"/>
                <w:szCs w:val="20"/>
              </w:rPr>
            </w:pPr>
            <w:r w:rsidRPr="001A7FF1">
              <w:rPr>
                <w:rFonts w:eastAsia="Calibri"/>
                <w:b/>
                <w:sz w:val="20"/>
                <w:szCs w:val="20"/>
                <w:lang w:val="id-ID"/>
              </w:rPr>
              <w:t>Questions in ordered number</w:t>
            </w:r>
          </w:p>
        </w:tc>
        <w:tc>
          <w:tcPr>
            <w:tcW w:w="4039" w:type="dxa"/>
            <w:shd w:val="clear" w:color="auto" w:fill="auto"/>
            <w:vAlign w:val="center"/>
          </w:tcPr>
          <w:p w:rsidR="0083244F" w:rsidRPr="001A7FF1" w:rsidRDefault="0083244F" w:rsidP="000F64CA">
            <w:pPr>
              <w:spacing w:line="240" w:lineRule="exact"/>
              <w:rPr>
                <w:rFonts w:eastAsia="Calibri"/>
                <w:b/>
                <w:sz w:val="20"/>
                <w:szCs w:val="20"/>
              </w:rPr>
            </w:pPr>
            <w:r w:rsidRPr="001A7FF1">
              <w:rPr>
                <w:rFonts w:eastAsia="Calibri"/>
                <w:b/>
                <w:sz w:val="20"/>
                <w:szCs w:val="20"/>
                <w:lang w:val="id-ID"/>
              </w:rPr>
              <w:t>The Stages of Giving Questions</w:t>
            </w:r>
          </w:p>
        </w:tc>
      </w:tr>
      <w:tr w:rsidR="0083244F" w:rsidRPr="001A7FF1" w:rsidTr="00572288">
        <w:trPr>
          <w:jc w:val="center"/>
        </w:trPr>
        <w:tc>
          <w:tcPr>
            <w:tcW w:w="3261" w:type="dxa"/>
            <w:vMerge w:val="restart"/>
            <w:shd w:val="clear" w:color="auto" w:fill="auto"/>
            <w:vAlign w:val="center"/>
          </w:tcPr>
          <w:p w:rsidR="0083244F" w:rsidRPr="001A7FF1" w:rsidRDefault="0083244F" w:rsidP="000F64CA">
            <w:pPr>
              <w:pStyle w:val="a7"/>
              <w:spacing w:line="240" w:lineRule="exact"/>
              <w:jc w:val="both"/>
              <w:rPr>
                <w:rFonts w:ascii="Times New Roman" w:eastAsia="Calibri" w:hAnsi="Times New Roman" w:cs="Times New Roman"/>
                <w:sz w:val="20"/>
                <w:szCs w:val="20"/>
              </w:rPr>
            </w:pPr>
            <w:r w:rsidRPr="001A7FF1">
              <w:rPr>
                <w:rFonts w:ascii="Times New Roman" w:eastAsia="Calibri" w:hAnsi="Times New Roman" w:cs="Times New Roman"/>
                <w:sz w:val="20"/>
                <w:szCs w:val="20"/>
                <w:lang w:val="id-ID"/>
              </w:rPr>
              <w:t>Concluding the concept of work</w:t>
            </w:r>
          </w:p>
        </w:tc>
        <w:tc>
          <w:tcPr>
            <w:tcW w:w="1631" w:type="dxa"/>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1</w:t>
            </w:r>
          </w:p>
        </w:tc>
        <w:tc>
          <w:tcPr>
            <w:tcW w:w="4039" w:type="dxa"/>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 xml:space="preserve">After </w:t>
            </w:r>
            <w:r w:rsidRPr="001A7FF1">
              <w:rPr>
                <w:rFonts w:ascii="Times New Roman" w:hAnsi="Times New Roman" w:cs="Times New Roman"/>
                <w:sz w:val="20"/>
                <w:szCs w:val="20"/>
                <w:lang w:val="id-ID"/>
              </w:rPr>
              <w:t xml:space="preserve">the </w:t>
            </w:r>
            <w:r w:rsidRPr="001A7FF1">
              <w:rPr>
                <w:rFonts w:ascii="Times New Roman" w:hAnsi="Times New Roman" w:cs="Times New Roman"/>
                <w:sz w:val="20"/>
                <w:szCs w:val="20"/>
              </w:rPr>
              <w:t xml:space="preserve">students learn the </w:t>
            </w:r>
            <w:r w:rsidRPr="001A7FF1">
              <w:rPr>
                <w:rFonts w:ascii="Times New Roman" w:hAnsi="Times New Roman" w:cs="Times New Roman"/>
                <w:sz w:val="20"/>
                <w:szCs w:val="20"/>
                <w:lang w:val="id-ID"/>
              </w:rPr>
              <w:t xml:space="preserve">definition </w:t>
            </w:r>
            <w:r w:rsidRPr="001A7FF1">
              <w:rPr>
                <w:rFonts w:ascii="Times New Roman" w:hAnsi="Times New Roman" w:cs="Times New Roman"/>
                <w:sz w:val="20"/>
                <w:szCs w:val="20"/>
              </w:rPr>
              <w:t xml:space="preserve">of </w:t>
            </w:r>
            <w:r w:rsidRPr="001A7FF1">
              <w:rPr>
                <w:rFonts w:ascii="Times New Roman" w:hAnsi="Times New Roman" w:cs="Times New Roman"/>
                <w:sz w:val="20"/>
                <w:szCs w:val="20"/>
                <w:lang w:val="id-ID"/>
              </w:rPr>
              <w:t>work</w:t>
            </w:r>
            <w:r w:rsidRPr="001A7FF1">
              <w:rPr>
                <w:rFonts w:ascii="Times New Roman" w:hAnsi="Times New Roman" w:cs="Times New Roman"/>
                <w:sz w:val="20"/>
                <w:szCs w:val="20"/>
              </w:rPr>
              <w:t xml:space="preserve"> and </w:t>
            </w:r>
            <w:r w:rsidRPr="001A7FF1">
              <w:rPr>
                <w:rFonts w:ascii="Times New Roman" w:hAnsi="Times New Roman" w:cs="Times New Roman"/>
                <w:sz w:val="20"/>
                <w:szCs w:val="20"/>
                <w:lang w:val="id-ID"/>
              </w:rPr>
              <w:t xml:space="preserve">its </w:t>
            </w:r>
            <w:r w:rsidRPr="001A7FF1">
              <w:rPr>
                <w:rFonts w:ascii="Times New Roman" w:hAnsi="Times New Roman" w:cs="Times New Roman"/>
                <w:sz w:val="20"/>
                <w:szCs w:val="20"/>
              </w:rPr>
              <w:t>examples.</w:t>
            </w:r>
          </w:p>
        </w:tc>
      </w:tr>
      <w:tr w:rsidR="0083244F" w:rsidRPr="001A7FF1" w:rsidTr="00572288">
        <w:trPr>
          <w:jc w:val="center"/>
        </w:trPr>
        <w:tc>
          <w:tcPr>
            <w:tcW w:w="3261" w:type="dxa"/>
            <w:vMerge/>
            <w:shd w:val="clear" w:color="auto" w:fill="auto"/>
            <w:vAlign w:val="center"/>
          </w:tcPr>
          <w:p w:rsidR="0083244F" w:rsidRPr="001A7FF1" w:rsidRDefault="0083244F" w:rsidP="000F64CA">
            <w:pPr>
              <w:pStyle w:val="a7"/>
              <w:spacing w:line="240" w:lineRule="exact"/>
              <w:jc w:val="both"/>
              <w:rPr>
                <w:rFonts w:ascii="Times New Roman" w:eastAsia="Calibri" w:hAnsi="Times New Roman" w:cs="Times New Roman"/>
                <w:sz w:val="20"/>
                <w:szCs w:val="20"/>
              </w:rPr>
            </w:pPr>
          </w:p>
        </w:tc>
        <w:tc>
          <w:tcPr>
            <w:tcW w:w="1631" w:type="dxa"/>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2</w:t>
            </w:r>
          </w:p>
        </w:tc>
        <w:tc>
          <w:tcPr>
            <w:tcW w:w="4039" w:type="dxa"/>
            <w:vMerge w:val="restart"/>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 xml:space="preserve">After </w:t>
            </w:r>
            <w:r w:rsidRPr="001A7FF1">
              <w:rPr>
                <w:rFonts w:ascii="Times New Roman" w:hAnsi="Times New Roman" w:cs="Times New Roman"/>
                <w:sz w:val="20"/>
                <w:szCs w:val="20"/>
                <w:lang w:val="id-ID"/>
              </w:rPr>
              <w:t xml:space="preserve">the </w:t>
            </w:r>
            <w:r w:rsidRPr="001A7FF1">
              <w:rPr>
                <w:rFonts w:ascii="Times New Roman" w:hAnsi="Times New Roman" w:cs="Times New Roman"/>
                <w:sz w:val="20"/>
                <w:szCs w:val="20"/>
              </w:rPr>
              <w:t xml:space="preserve">students learn the </w:t>
            </w:r>
            <w:r w:rsidRPr="001A7FF1">
              <w:rPr>
                <w:rFonts w:ascii="Times New Roman" w:hAnsi="Times New Roman" w:cs="Times New Roman"/>
                <w:sz w:val="20"/>
                <w:szCs w:val="20"/>
                <w:lang w:val="id-ID"/>
              </w:rPr>
              <w:t>equation and graphic of work</w:t>
            </w:r>
            <w:r w:rsidRPr="001A7FF1">
              <w:rPr>
                <w:rFonts w:ascii="Times New Roman" w:hAnsi="Times New Roman" w:cs="Times New Roman"/>
                <w:sz w:val="20"/>
                <w:szCs w:val="20"/>
              </w:rPr>
              <w:t>.</w:t>
            </w:r>
          </w:p>
        </w:tc>
      </w:tr>
      <w:tr w:rsidR="0083244F" w:rsidRPr="001A7FF1" w:rsidTr="00572288">
        <w:trPr>
          <w:jc w:val="center"/>
        </w:trPr>
        <w:tc>
          <w:tcPr>
            <w:tcW w:w="3261" w:type="dxa"/>
            <w:vMerge/>
            <w:shd w:val="clear" w:color="auto" w:fill="auto"/>
            <w:vAlign w:val="center"/>
          </w:tcPr>
          <w:p w:rsidR="0083244F" w:rsidRPr="001A7FF1" w:rsidRDefault="0083244F" w:rsidP="000F64CA">
            <w:pPr>
              <w:pStyle w:val="a7"/>
              <w:spacing w:line="240" w:lineRule="exact"/>
              <w:jc w:val="both"/>
              <w:rPr>
                <w:rFonts w:ascii="Times New Roman" w:eastAsia="Calibri" w:hAnsi="Times New Roman" w:cs="Times New Roman"/>
                <w:sz w:val="20"/>
                <w:szCs w:val="20"/>
              </w:rPr>
            </w:pPr>
          </w:p>
        </w:tc>
        <w:tc>
          <w:tcPr>
            <w:tcW w:w="1631" w:type="dxa"/>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3</w:t>
            </w:r>
          </w:p>
        </w:tc>
        <w:tc>
          <w:tcPr>
            <w:tcW w:w="4039" w:type="dxa"/>
            <w:vMerge/>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p>
        </w:tc>
      </w:tr>
      <w:tr w:rsidR="0083244F" w:rsidRPr="001A7FF1" w:rsidTr="00572288">
        <w:trPr>
          <w:jc w:val="center"/>
        </w:trPr>
        <w:tc>
          <w:tcPr>
            <w:tcW w:w="3261" w:type="dxa"/>
            <w:vMerge w:val="restart"/>
            <w:shd w:val="clear" w:color="auto" w:fill="auto"/>
            <w:vAlign w:val="center"/>
          </w:tcPr>
          <w:p w:rsidR="0083244F" w:rsidRPr="001A7FF1" w:rsidRDefault="0083244F" w:rsidP="000F64CA">
            <w:pPr>
              <w:pStyle w:val="a7"/>
              <w:spacing w:line="240" w:lineRule="exact"/>
              <w:jc w:val="both"/>
              <w:rPr>
                <w:rFonts w:ascii="Times New Roman" w:eastAsia="Calibri" w:hAnsi="Times New Roman" w:cs="Times New Roman"/>
                <w:sz w:val="20"/>
                <w:szCs w:val="20"/>
              </w:rPr>
            </w:pPr>
            <w:r w:rsidRPr="001A7FF1">
              <w:rPr>
                <w:rFonts w:ascii="Times New Roman" w:eastAsia="Calibri" w:hAnsi="Times New Roman" w:cs="Times New Roman"/>
                <w:sz w:val="20"/>
                <w:szCs w:val="20"/>
                <w:lang w:val="id-ID"/>
              </w:rPr>
              <w:t>Analyzing work on moving object</w:t>
            </w:r>
          </w:p>
        </w:tc>
        <w:tc>
          <w:tcPr>
            <w:tcW w:w="1631" w:type="dxa"/>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4</w:t>
            </w:r>
          </w:p>
        </w:tc>
        <w:tc>
          <w:tcPr>
            <w:tcW w:w="4039" w:type="dxa"/>
            <w:vMerge w:val="restart"/>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 xml:space="preserve">After </w:t>
            </w:r>
            <w:r w:rsidRPr="001A7FF1">
              <w:rPr>
                <w:rFonts w:ascii="Times New Roman" w:hAnsi="Times New Roman" w:cs="Times New Roman"/>
                <w:sz w:val="20"/>
                <w:szCs w:val="20"/>
                <w:lang w:val="id-ID"/>
              </w:rPr>
              <w:t xml:space="preserve">the </w:t>
            </w:r>
            <w:r w:rsidRPr="001A7FF1">
              <w:rPr>
                <w:rFonts w:ascii="Times New Roman" w:hAnsi="Times New Roman" w:cs="Times New Roman"/>
                <w:sz w:val="20"/>
                <w:szCs w:val="20"/>
              </w:rPr>
              <w:t xml:space="preserve">students </w:t>
            </w:r>
            <w:r w:rsidRPr="001A7FF1">
              <w:rPr>
                <w:rFonts w:ascii="Times New Roman" w:hAnsi="Times New Roman" w:cs="Times New Roman"/>
                <w:sz w:val="20"/>
                <w:szCs w:val="20"/>
                <w:lang w:val="id-ID"/>
              </w:rPr>
              <w:t>discuss about the work of an object which has velocity and acceleration</w:t>
            </w:r>
          </w:p>
        </w:tc>
      </w:tr>
      <w:tr w:rsidR="0083244F" w:rsidRPr="001A7FF1" w:rsidTr="00572288">
        <w:trPr>
          <w:jc w:val="center"/>
        </w:trPr>
        <w:tc>
          <w:tcPr>
            <w:tcW w:w="3261" w:type="dxa"/>
            <w:vMerge/>
            <w:shd w:val="clear" w:color="auto" w:fill="auto"/>
            <w:vAlign w:val="center"/>
          </w:tcPr>
          <w:p w:rsidR="0083244F" w:rsidRPr="001A7FF1" w:rsidRDefault="0083244F" w:rsidP="000F64CA">
            <w:pPr>
              <w:pStyle w:val="a7"/>
              <w:spacing w:line="240" w:lineRule="exact"/>
              <w:jc w:val="both"/>
              <w:rPr>
                <w:rFonts w:ascii="Times New Roman" w:eastAsia="Calibri" w:hAnsi="Times New Roman" w:cs="Times New Roman"/>
                <w:sz w:val="20"/>
                <w:szCs w:val="20"/>
              </w:rPr>
            </w:pPr>
          </w:p>
        </w:tc>
        <w:tc>
          <w:tcPr>
            <w:tcW w:w="1631" w:type="dxa"/>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5</w:t>
            </w:r>
          </w:p>
        </w:tc>
        <w:tc>
          <w:tcPr>
            <w:tcW w:w="4039" w:type="dxa"/>
            <w:vMerge/>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p>
        </w:tc>
      </w:tr>
      <w:tr w:rsidR="0083244F" w:rsidRPr="001A7FF1" w:rsidTr="00572288">
        <w:trPr>
          <w:jc w:val="center"/>
        </w:trPr>
        <w:tc>
          <w:tcPr>
            <w:tcW w:w="3261" w:type="dxa"/>
            <w:shd w:val="clear" w:color="auto" w:fill="auto"/>
            <w:vAlign w:val="center"/>
          </w:tcPr>
          <w:p w:rsidR="0083244F" w:rsidRPr="001A7FF1" w:rsidRDefault="0083244F" w:rsidP="000F64CA">
            <w:pPr>
              <w:pStyle w:val="a7"/>
              <w:spacing w:line="240" w:lineRule="exact"/>
              <w:jc w:val="both"/>
              <w:rPr>
                <w:rFonts w:ascii="Times New Roman" w:eastAsia="Calibri" w:hAnsi="Times New Roman" w:cs="Times New Roman"/>
                <w:sz w:val="20"/>
                <w:szCs w:val="20"/>
              </w:rPr>
            </w:pPr>
            <w:r w:rsidRPr="001A7FF1">
              <w:rPr>
                <w:rFonts w:ascii="Times New Roman" w:hAnsi="Times New Roman" w:cs="Times New Roman"/>
                <w:sz w:val="20"/>
                <w:szCs w:val="20"/>
                <w:lang w:val="id-ID"/>
              </w:rPr>
              <w:t>Comparing work on different track.</w:t>
            </w:r>
          </w:p>
        </w:tc>
        <w:tc>
          <w:tcPr>
            <w:tcW w:w="1631" w:type="dxa"/>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6</w:t>
            </w:r>
          </w:p>
        </w:tc>
        <w:tc>
          <w:tcPr>
            <w:tcW w:w="4039" w:type="dxa"/>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lang w:val="id-ID"/>
              </w:rPr>
              <w:t xml:space="preserve">When the students are discussing </w:t>
            </w:r>
            <w:r w:rsidRPr="001A7FF1">
              <w:rPr>
                <w:rFonts w:ascii="Times New Roman" w:hAnsi="Times New Roman" w:cs="Times New Roman"/>
                <w:sz w:val="20"/>
                <w:szCs w:val="20"/>
              </w:rPr>
              <w:t xml:space="preserve"> </w:t>
            </w:r>
            <w:r w:rsidRPr="001A7FF1">
              <w:rPr>
                <w:rFonts w:ascii="Times New Roman" w:hAnsi="Times New Roman" w:cs="Times New Roman"/>
                <w:sz w:val="20"/>
                <w:szCs w:val="20"/>
                <w:lang w:val="id-ID"/>
              </w:rPr>
              <w:t>about work on different track</w:t>
            </w:r>
          </w:p>
        </w:tc>
      </w:tr>
      <w:tr w:rsidR="0083244F" w:rsidRPr="001A7FF1" w:rsidTr="00572288">
        <w:trPr>
          <w:jc w:val="center"/>
        </w:trPr>
        <w:tc>
          <w:tcPr>
            <w:tcW w:w="3261" w:type="dxa"/>
            <w:vMerge w:val="restart"/>
            <w:shd w:val="clear" w:color="auto" w:fill="auto"/>
            <w:vAlign w:val="center"/>
          </w:tcPr>
          <w:p w:rsidR="0083244F" w:rsidRPr="001A7FF1" w:rsidRDefault="0083244F" w:rsidP="000F64CA">
            <w:pPr>
              <w:pStyle w:val="a7"/>
              <w:spacing w:line="240" w:lineRule="exact"/>
              <w:jc w:val="both"/>
              <w:rPr>
                <w:rFonts w:ascii="Times New Roman" w:hAnsi="Times New Roman" w:cs="Times New Roman"/>
                <w:sz w:val="20"/>
                <w:szCs w:val="20"/>
                <w:lang w:val="id-ID"/>
              </w:rPr>
            </w:pPr>
            <w:r w:rsidRPr="001A7FF1">
              <w:rPr>
                <w:rFonts w:ascii="Times New Roman" w:hAnsi="Times New Roman" w:cs="Times New Roman"/>
                <w:sz w:val="20"/>
                <w:szCs w:val="20"/>
                <w:lang w:val="id-ID"/>
              </w:rPr>
              <w:t>Analyzing the concept of potential energy</w:t>
            </w:r>
          </w:p>
        </w:tc>
        <w:tc>
          <w:tcPr>
            <w:tcW w:w="1631" w:type="dxa"/>
            <w:shd w:val="clear" w:color="auto" w:fill="auto"/>
            <w:vAlign w:val="center"/>
          </w:tcPr>
          <w:p w:rsidR="0083244F" w:rsidRPr="001A7FF1" w:rsidRDefault="0083244F" w:rsidP="000F64CA">
            <w:pPr>
              <w:spacing w:line="240" w:lineRule="exact"/>
              <w:rPr>
                <w:rFonts w:eastAsia="Calibri"/>
                <w:sz w:val="20"/>
                <w:szCs w:val="20"/>
              </w:rPr>
            </w:pPr>
            <w:r w:rsidRPr="001A7FF1">
              <w:rPr>
                <w:rFonts w:eastAsia="Calibri"/>
                <w:sz w:val="20"/>
                <w:szCs w:val="20"/>
              </w:rPr>
              <w:t>7</w:t>
            </w:r>
          </w:p>
        </w:tc>
        <w:tc>
          <w:tcPr>
            <w:tcW w:w="4039" w:type="dxa"/>
            <w:vMerge w:val="restart"/>
            <w:shd w:val="clear" w:color="auto" w:fill="auto"/>
            <w:vAlign w:val="center"/>
          </w:tcPr>
          <w:p w:rsidR="0083244F" w:rsidRPr="001A7FF1" w:rsidRDefault="0083244F" w:rsidP="000F64CA">
            <w:pPr>
              <w:spacing w:line="240" w:lineRule="exact"/>
              <w:rPr>
                <w:rFonts w:eastAsia="Calibri"/>
                <w:sz w:val="20"/>
                <w:szCs w:val="20"/>
                <w:lang w:val="id-ID"/>
              </w:rPr>
            </w:pPr>
            <w:r w:rsidRPr="001A7FF1">
              <w:rPr>
                <w:rFonts w:eastAsia="Calibri"/>
                <w:sz w:val="20"/>
                <w:szCs w:val="20"/>
                <w:lang w:val="id-ID"/>
              </w:rPr>
              <w:t>After the students learn the definition of</w:t>
            </w:r>
            <w:r w:rsidRPr="001A7FF1">
              <w:rPr>
                <w:rFonts w:eastAsia="Calibri"/>
                <w:sz w:val="20"/>
                <w:szCs w:val="20"/>
              </w:rPr>
              <w:t xml:space="preserve"> </w:t>
            </w:r>
            <w:r w:rsidRPr="001A7FF1">
              <w:rPr>
                <w:rFonts w:eastAsia="Calibri"/>
                <w:sz w:val="20"/>
                <w:szCs w:val="20"/>
                <w:lang w:val="id-ID"/>
              </w:rPr>
              <w:t>potential energy and its equation</w:t>
            </w:r>
          </w:p>
        </w:tc>
      </w:tr>
      <w:tr w:rsidR="0083244F" w:rsidRPr="001A7FF1" w:rsidTr="00572288">
        <w:trPr>
          <w:jc w:val="center"/>
        </w:trPr>
        <w:tc>
          <w:tcPr>
            <w:tcW w:w="3261" w:type="dxa"/>
            <w:vMerge/>
            <w:shd w:val="clear" w:color="auto" w:fill="auto"/>
            <w:vAlign w:val="center"/>
          </w:tcPr>
          <w:p w:rsidR="0083244F" w:rsidRPr="001A7FF1" w:rsidRDefault="0083244F" w:rsidP="000F64CA">
            <w:pPr>
              <w:pStyle w:val="a7"/>
              <w:numPr>
                <w:ilvl w:val="0"/>
                <w:numId w:val="5"/>
              </w:numPr>
              <w:spacing w:line="240" w:lineRule="exact"/>
              <w:ind w:left="0" w:firstLine="0"/>
              <w:jc w:val="both"/>
              <w:rPr>
                <w:rFonts w:ascii="Times New Roman" w:eastAsia="Calibri" w:hAnsi="Times New Roman" w:cs="Times New Roman"/>
                <w:sz w:val="20"/>
                <w:szCs w:val="20"/>
              </w:rPr>
            </w:pPr>
          </w:p>
        </w:tc>
        <w:tc>
          <w:tcPr>
            <w:tcW w:w="1631" w:type="dxa"/>
            <w:shd w:val="clear" w:color="auto" w:fill="auto"/>
            <w:vAlign w:val="center"/>
          </w:tcPr>
          <w:p w:rsidR="0083244F" w:rsidRPr="001A7FF1" w:rsidRDefault="0083244F" w:rsidP="000F64CA">
            <w:pPr>
              <w:spacing w:line="240" w:lineRule="exact"/>
              <w:rPr>
                <w:rFonts w:eastAsia="Calibri"/>
                <w:sz w:val="20"/>
                <w:szCs w:val="20"/>
              </w:rPr>
            </w:pPr>
            <w:r w:rsidRPr="001A7FF1">
              <w:rPr>
                <w:rFonts w:eastAsia="Calibri"/>
                <w:sz w:val="20"/>
                <w:szCs w:val="20"/>
              </w:rPr>
              <w:t>8</w:t>
            </w:r>
          </w:p>
        </w:tc>
        <w:tc>
          <w:tcPr>
            <w:tcW w:w="4039" w:type="dxa"/>
            <w:vMerge/>
            <w:shd w:val="clear" w:color="auto" w:fill="auto"/>
            <w:vAlign w:val="center"/>
          </w:tcPr>
          <w:p w:rsidR="0083244F" w:rsidRPr="001A7FF1" w:rsidRDefault="0083244F" w:rsidP="000F64CA">
            <w:pPr>
              <w:spacing w:line="240" w:lineRule="exact"/>
              <w:rPr>
                <w:rFonts w:eastAsia="Calibri"/>
                <w:sz w:val="20"/>
                <w:szCs w:val="20"/>
              </w:rPr>
            </w:pPr>
          </w:p>
        </w:tc>
      </w:tr>
      <w:tr w:rsidR="0083244F" w:rsidRPr="001A7FF1" w:rsidTr="00572288">
        <w:trPr>
          <w:jc w:val="center"/>
        </w:trPr>
        <w:tc>
          <w:tcPr>
            <w:tcW w:w="3261" w:type="dxa"/>
            <w:vMerge/>
            <w:shd w:val="clear" w:color="auto" w:fill="auto"/>
            <w:vAlign w:val="center"/>
          </w:tcPr>
          <w:p w:rsidR="0083244F" w:rsidRPr="001A7FF1" w:rsidRDefault="0083244F" w:rsidP="000F64CA">
            <w:pPr>
              <w:pStyle w:val="a7"/>
              <w:numPr>
                <w:ilvl w:val="0"/>
                <w:numId w:val="5"/>
              </w:numPr>
              <w:spacing w:line="240" w:lineRule="exact"/>
              <w:ind w:left="0" w:firstLine="0"/>
              <w:jc w:val="both"/>
              <w:rPr>
                <w:rFonts w:ascii="Times New Roman" w:eastAsia="Calibri" w:hAnsi="Times New Roman" w:cs="Times New Roman"/>
                <w:sz w:val="20"/>
                <w:szCs w:val="20"/>
              </w:rPr>
            </w:pPr>
          </w:p>
        </w:tc>
        <w:tc>
          <w:tcPr>
            <w:tcW w:w="1631" w:type="dxa"/>
            <w:shd w:val="clear" w:color="auto" w:fill="auto"/>
            <w:vAlign w:val="center"/>
          </w:tcPr>
          <w:p w:rsidR="0083244F" w:rsidRPr="001A7FF1" w:rsidRDefault="0083244F" w:rsidP="000F64CA">
            <w:pPr>
              <w:spacing w:line="240" w:lineRule="exact"/>
              <w:rPr>
                <w:rFonts w:eastAsia="Calibri"/>
                <w:sz w:val="20"/>
                <w:szCs w:val="20"/>
              </w:rPr>
            </w:pPr>
            <w:r w:rsidRPr="001A7FF1">
              <w:rPr>
                <w:rFonts w:eastAsia="Calibri"/>
                <w:sz w:val="20"/>
                <w:szCs w:val="20"/>
              </w:rPr>
              <w:t>9</w:t>
            </w:r>
          </w:p>
        </w:tc>
        <w:tc>
          <w:tcPr>
            <w:tcW w:w="4039" w:type="dxa"/>
            <w:vMerge/>
            <w:shd w:val="clear" w:color="auto" w:fill="auto"/>
            <w:vAlign w:val="center"/>
          </w:tcPr>
          <w:p w:rsidR="0083244F" w:rsidRPr="001A7FF1" w:rsidRDefault="0083244F" w:rsidP="000F64CA">
            <w:pPr>
              <w:spacing w:line="240" w:lineRule="exact"/>
              <w:rPr>
                <w:rFonts w:eastAsia="Calibri"/>
                <w:sz w:val="20"/>
                <w:szCs w:val="20"/>
              </w:rPr>
            </w:pPr>
          </w:p>
        </w:tc>
      </w:tr>
      <w:tr w:rsidR="0083244F" w:rsidRPr="001A7FF1" w:rsidTr="00572288">
        <w:trPr>
          <w:jc w:val="center"/>
        </w:trPr>
        <w:tc>
          <w:tcPr>
            <w:tcW w:w="3261" w:type="dxa"/>
            <w:vMerge w:val="restart"/>
            <w:shd w:val="clear" w:color="auto" w:fill="auto"/>
            <w:vAlign w:val="center"/>
          </w:tcPr>
          <w:p w:rsidR="0083244F" w:rsidRPr="001A7FF1" w:rsidRDefault="0083244F" w:rsidP="000F64CA">
            <w:pPr>
              <w:pStyle w:val="a7"/>
              <w:spacing w:line="240" w:lineRule="exact"/>
              <w:jc w:val="both"/>
              <w:rPr>
                <w:rFonts w:ascii="Times New Roman" w:eastAsia="Calibri" w:hAnsi="Times New Roman" w:cs="Times New Roman"/>
                <w:sz w:val="20"/>
                <w:szCs w:val="20"/>
              </w:rPr>
            </w:pPr>
            <w:r w:rsidRPr="001A7FF1">
              <w:rPr>
                <w:rFonts w:ascii="Times New Roman" w:hAnsi="Times New Roman" w:cs="Times New Roman"/>
                <w:sz w:val="20"/>
                <w:szCs w:val="20"/>
              </w:rPr>
              <w:t>s</w:t>
            </w:r>
            <w:r w:rsidRPr="001A7FF1">
              <w:rPr>
                <w:rFonts w:ascii="Times New Roman" w:hAnsi="Times New Roman" w:cs="Times New Roman"/>
                <w:sz w:val="20"/>
                <w:szCs w:val="20"/>
                <w:lang w:val="id-ID"/>
              </w:rPr>
              <w:t>Analyzing the concept of kinetic energy</w:t>
            </w:r>
            <w:r w:rsidRPr="001A7FF1">
              <w:rPr>
                <w:rFonts w:ascii="Times New Roman" w:eastAsia="Calibri" w:hAnsi="Times New Roman" w:cs="Times New Roman"/>
                <w:sz w:val="20"/>
                <w:szCs w:val="20"/>
              </w:rPr>
              <w:t xml:space="preserve"> </w:t>
            </w:r>
          </w:p>
        </w:tc>
        <w:tc>
          <w:tcPr>
            <w:tcW w:w="1631" w:type="dxa"/>
            <w:shd w:val="clear" w:color="auto" w:fill="auto"/>
            <w:vAlign w:val="center"/>
          </w:tcPr>
          <w:p w:rsidR="0083244F" w:rsidRPr="001A7FF1" w:rsidRDefault="0083244F" w:rsidP="000F64CA">
            <w:pPr>
              <w:spacing w:line="240" w:lineRule="exact"/>
              <w:rPr>
                <w:rFonts w:eastAsia="Calibri"/>
                <w:sz w:val="20"/>
                <w:szCs w:val="20"/>
              </w:rPr>
            </w:pPr>
            <w:r w:rsidRPr="001A7FF1">
              <w:rPr>
                <w:rFonts w:eastAsia="Calibri"/>
                <w:sz w:val="20"/>
                <w:szCs w:val="20"/>
              </w:rPr>
              <w:t>10</w:t>
            </w:r>
          </w:p>
        </w:tc>
        <w:tc>
          <w:tcPr>
            <w:tcW w:w="4039" w:type="dxa"/>
            <w:shd w:val="clear" w:color="auto" w:fill="auto"/>
            <w:vAlign w:val="center"/>
          </w:tcPr>
          <w:p w:rsidR="0083244F" w:rsidRPr="001A7FF1" w:rsidRDefault="0083244F" w:rsidP="000F64CA">
            <w:pPr>
              <w:spacing w:line="240" w:lineRule="exact"/>
              <w:rPr>
                <w:rFonts w:eastAsia="Calibri"/>
                <w:sz w:val="20"/>
                <w:szCs w:val="20"/>
              </w:rPr>
            </w:pPr>
            <w:r w:rsidRPr="001A7FF1">
              <w:rPr>
                <w:sz w:val="20"/>
                <w:szCs w:val="20"/>
                <w:lang w:val="id-ID"/>
              </w:rPr>
              <w:t xml:space="preserve">When the students are discussing </w:t>
            </w:r>
            <w:r w:rsidRPr="001A7FF1">
              <w:rPr>
                <w:sz w:val="20"/>
                <w:szCs w:val="20"/>
              </w:rPr>
              <w:t xml:space="preserve"> </w:t>
            </w:r>
            <w:r w:rsidRPr="001A7FF1">
              <w:rPr>
                <w:sz w:val="20"/>
                <w:szCs w:val="20"/>
                <w:lang w:val="id-ID"/>
              </w:rPr>
              <w:t xml:space="preserve">about </w:t>
            </w:r>
            <w:r w:rsidRPr="001A7FF1">
              <w:rPr>
                <w:rFonts w:eastAsia="Calibri"/>
                <w:sz w:val="20"/>
                <w:szCs w:val="20"/>
                <w:lang w:val="id-ID"/>
              </w:rPr>
              <w:t>factors that influence kinetic energy</w:t>
            </w:r>
            <w:r w:rsidRPr="001A7FF1">
              <w:rPr>
                <w:rFonts w:eastAsia="Calibri"/>
                <w:sz w:val="20"/>
                <w:szCs w:val="20"/>
              </w:rPr>
              <w:t xml:space="preserve"> </w:t>
            </w:r>
          </w:p>
        </w:tc>
      </w:tr>
      <w:tr w:rsidR="0083244F" w:rsidRPr="001A7FF1" w:rsidTr="00572288">
        <w:trPr>
          <w:jc w:val="center"/>
        </w:trPr>
        <w:tc>
          <w:tcPr>
            <w:tcW w:w="3261" w:type="dxa"/>
            <w:vMerge/>
            <w:shd w:val="clear" w:color="auto" w:fill="auto"/>
            <w:vAlign w:val="center"/>
          </w:tcPr>
          <w:p w:rsidR="0083244F" w:rsidRPr="001A7FF1" w:rsidRDefault="0083244F" w:rsidP="000F64CA">
            <w:pPr>
              <w:pStyle w:val="a7"/>
              <w:numPr>
                <w:ilvl w:val="0"/>
                <w:numId w:val="5"/>
              </w:numPr>
              <w:spacing w:line="240" w:lineRule="exact"/>
              <w:ind w:left="0" w:firstLine="0"/>
              <w:jc w:val="both"/>
              <w:rPr>
                <w:rFonts w:ascii="Times New Roman" w:eastAsia="Calibri" w:hAnsi="Times New Roman" w:cs="Times New Roman"/>
                <w:sz w:val="20"/>
                <w:szCs w:val="20"/>
              </w:rPr>
            </w:pPr>
          </w:p>
        </w:tc>
        <w:tc>
          <w:tcPr>
            <w:tcW w:w="1631" w:type="dxa"/>
            <w:shd w:val="clear" w:color="auto" w:fill="auto"/>
            <w:vAlign w:val="center"/>
          </w:tcPr>
          <w:p w:rsidR="0083244F" w:rsidRPr="001A7FF1" w:rsidRDefault="0083244F" w:rsidP="000F64CA">
            <w:pPr>
              <w:spacing w:line="240" w:lineRule="exact"/>
              <w:rPr>
                <w:rFonts w:eastAsia="Calibri"/>
                <w:sz w:val="20"/>
                <w:szCs w:val="20"/>
              </w:rPr>
            </w:pPr>
            <w:r w:rsidRPr="001A7FF1">
              <w:rPr>
                <w:rFonts w:eastAsia="Calibri"/>
                <w:sz w:val="20"/>
                <w:szCs w:val="20"/>
              </w:rPr>
              <w:t>11</w:t>
            </w:r>
          </w:p>
        </w:tc>
        <w:tc>
          <w:tcPr>
            <w:tcW w:w="4039" w:type="dxa"/>
            <w:vMerge w:val="restart"/>
            <w:shd w:val="clear" w:color="auto" w:fill="auto"/>
            <w:vAlign w:val="center"/>
          </w:tcPr>
          <w:p w:rsidR="0083244F" w:rsidRPr="001A7FF1" w:rsidRDefault="0083244F" w:rsidP="000F64CA">
            <w:pPr>
              <w:spacing w:line="240" w:lineRule="exact"/>
              <w:rPr>
                <w:rFonts w:eastAsia="Calibri"/>
                <w:sz w:val="20"/>
                <w:szCs w:val="20"/>
              </w:rPr>
            </w:pPr>
            <w:r w:rsidRPr="001A7FF1">
              <w:rPr>
                <w:rFonts w:eastAsia="Calibri"/>
                <w:sz w:val="20"/>
                <w:szCs w:val="20"/>
                <w:lang w:val="id-ID"/>
              </w:rPr>
              <w:t xml:space="preserve">After the students learn the </w:t>
            </w:r>
            <w:r w:rsidRPr="001A7FF1">
              <w:rPr>
                <w:rFonts w:eastAsia="Calibri"/>
                <w:noProof/>
                <w:sz w:val="20"/>
                <w:szCs w:val="20"/>
                <w:lang w:val="id-ID"/>
              </w:rPr>
              <w:t xml:space="preserve">factors </w:t>
            </w:r>
            <w:r w:rsidRPr="001A7FF1">
              <w:rPr>
                <w:rFonts w:eastAsia="Calibri"/>
                <w:sz w:val="20"/>
                <w:szCs w:val="20"/>
                <w:lang w:val="id-ID"/>
              </w:rPr>
              <w:t>that influence kinetic energy and its equation</w:t>
            </w:r>
          </w:p>
        </w:tc>
      </w:tr>
      <w:tr w:rsidR="0083244F" w:rsidRPr="001A7FF1" w:rsidTr="00572288">
        <w:trPr>
          <w:jc w:val="center"/>
        </w:trPr>
        <w:tc>
          <w:tcPr>
            <w:tcW w:w="3261" w:type="dxa"/>
            <w:vMerge/>
            <w:shd w:val="clear" w:color="auto" w:fill="auto"/>
            <w:vAlign w:val="center"/>
          </w:tcPr>
          <w:p w:rsidR="0083244F" w:rsidRPr="001A7FF1" w:rsidRDefault="0083244F" w:rsidP="000F64CA">
            <w:pPr>
              <w:pStyle w:val="a7"/>
              <w:numPr>
                <w:ilvl w:val="0"/>
                <w:numId w:val="5"/>
              </w:numPr>
              <w:spacing w:line="240" w:lineRule="exact"/>
              <w:ind w:left="0" w:firstLine="0"/>
              <w:jc w:val="both"/>
              <w:rPr>
                <w:rFonts w:ascii="Times New Roman" w:eastAsia="Calibri" w:hAnsi="Times New Roman" w:cs="Times New Roman"/>
                <w:sz w:val="20"/>
                <w:szCs w:val="20"/>
              </w:rPr>
            </w:pPr>
          </w:p>
        </w:tc>
        <w:tc>
          <w:tcPr>
            <w:tcW w:w="1631" w:type="dxa"/>
            <w:shd w:val="clear" w:color="auto" w:fill="auto"/>
            <w:vAlign w:val="center"/>
          </w:tcPr>
          <w:p w:rsidR="0083244F" w:rsidRPr="001A7FF1" w:rsidRDefault="0083244F" w:rsidP="000F64CA">
            <w:pPr>
              <w:spacing w:line="240" w:lineRule="exact"/>
              <w:rPr>
                <w:rFonts w:eastAsia="Calibri"/>
                <w:sz w:val="20"/>
                <w:szCs w:val="20"/>
              </w:rPr>
            </w:pPr>
            <w:r w:rsidRPr="001A7FF1">
              <w:rPr>
                <w:rFonts w:eastAsia="Calibri"/>
                <w:sz w:val="20"/>
                <w:szCs w:val="20"/>
              </w:rPr>
              <w:t>12</w:t>
            </w:r>
          </w:p>
        </w:tc>
        <w:tc>
          <w:tcPr>
            <w:tcW w:w="4039" w:type="dxa"/>
            <w:vMerge/>
            <w:shd w:val="clear" w:color="auto" w:fill="auto"/>
            <w:vAlign w:val="center"/>
          </w:tcPr>
          <w:p w:rsidR="0083244F" w:rsidRPr="001A7FF1" w:rsidRDefault="0083244F" w:rsidP="000F64CA">
            <w:pPr>
              <w:spacing w:line="240" w:lineRule="exact"/>
              <w:rPr>
                <w:rFonts w:eastAsia="Calibri"/>
                <w:sz w:val="20"/>
                <w:szCs w:val="20"/>
              </w:rPr>
            </w:pPr>
          </w:p>
        </w:tc>
      </w:tr>
      <w:tr w:rsidR="0083244F" w:rsidRPr="001A7FF1" w:rsidTr="00572288">
        <w:trPr>
          <w:jc w:val="center"/>
        </w:trPr>
        <w:tc>
          <w:tcPr>
            <w:tcW w:w="3261" w:type="dxa"/>
            <w:vMerge w:val="restart"/>
            <w:shd w:val="clear" w:color="auto" w:fill="auto"/>
            <w:vAlign w:val="center"/>
          </w:tcPr>
          <w:p w:rsidR="0083244F" w:rsidRPr="001A7FF1" w:rsidRDefault="0083244F" w:rsidP="000F64CA">
            <w:pPr>
              <w:pStyle w:val="a7"/>
              <w:spacing w:line="240" w:lineRule="exact"/>
              <w:jc w:val="both"/>
              <w:rPr>
                <w:rFonts w:ascii="Times New Roman" w:eastAsia="Calibri" w:hAnsi="Times New Roman" w:cs="Times New Roman"/>
                <w:sz w:val="20"/>
                <w:szCs w:val="20"/>
              </w:rPr>
            </w:pPr>
            <w:r w:rsidRPr="001A7FF1">
              <w:rPr>
                <w:rFonts w:ascii="Times New Roman" w:hAnsi="Times New Roman" w:cs="Times New Roman"/>
                <w:sz w:val="20"/>
                <w:szCs w:val="20"/>
                <w:lang w:val="id-ID"/>
              </w:rPr>
              <w:t>Analyzing the concept of mechanical energy</w:t>
            </w:r>
          </w:p>
        </w:tc>
        <w:tc>
          <w:tcPr>
            <w:tcW w:w="1631" w:type="dxa"/>
            <w:shd w:val="clear" w:color="auto" w:fill="auto"/>
            <w:vAlign w:val="center"/>
          </w:tcPr>
          <w:p w:rsidR="0083244F" w:rsidRPr="001A7FF1" w:rsidRDefault="0083244F" w:rsidP="000F64CA">
            <w:pPr>
              <w:spacing w:line="240" w:lineRule="exact"/>
              <w:rPr>
                <w:rFonts w:eastAsia="Calibri"/>
                <w:sz w:val="20"/>
                <w:szCs w:val="20"/>
              </w:rPr>
            </w:pPr>
            <w:r w:rsidRPr="001A7FF1">
              <w:rPr>
                <w:rFonts w:eastAsia="Calibri"/>
                <w:sz w:val="20"/>
                <w:szCs w:val="20"/>
              </w:rPr>
              <w:t>13</w:t>
            </w:r>
          </w:p>
        </w:tc>
        <w:tc>
          <w:tcPr>
            <w:tcW w:w="4039" w:type="dxa"/>
            <w:vMerge w:val="restart"/>
            <w:shd w:val="clear" w:color="auto" w:fill="auto"/>
            <w:vAlign w:val="center"/>
          </w:tcPr>
          <w:p w:rsidR="0083244F" w:rsidRPr="001A7FF1" w:rsidRDefault="0083244F" w:rsidP="000F64CA">
            <w:pPr>
              <w:spacing w:line="240" w:lineRule="exact"/>
              <w:rPr>
                <w:rFonts w:eastAsia="Calibri"/>
                <w:sz w:val="20"/>
                <w:szCs w:val="20"/>
                <w:lang w:val="id-ID"/>
              </w:rPr>
            </w:pPr>
            <w:r w:rsidRPr="001A7FF1">
              <w:rPr>
                <w:sz w:val="20"/>
                <w:szCs w:val="20"/>
              </w:rPr>
              <w:t xml:space="preserve">After </w:t>
            </w:r>
            <w:r w:rsidRPr="001A7FF1">
              <w:rPr>
                <w:sz w:val="20"/>
                <w:szCs w:val="20"/>
                <w:lang w:val="id-ID"/>
              </w:rPr>
              <w:t xml:space="preserve">the </w:t>
            </w:r>
            <w:r w:rsidRPr="001A7FF1">
              <w:rPr>
                <w:sz w:val="20"/>
                <w:szCs w:val="20"/>
              </w:rPr>
              <w:t xml:space="preserve">students learn the </w:t>
            </w:r>
            <w:r w:rsidRPr="001A7FF1">
              <w:rPr>
                <w:sz w:val="20"/>
                <w:szCs w:val="20"/>
                <w:lang w:val="id-ID"/>
              </w:rPr>
              <w:t xml:space="preserve">equation </w:t>
            </w:r>
            <w:r w:rsidRPr="001A7FF1">
              <w:rPr>
                <w:rFonts w:eastAsia="Calibri"/>
                <w:sz w:val="20"/>
                <w:szCs w:val="20"/>
                <w:lang w:val="id-ID"/>
              </w:rPr>
              <w:t>of mechanical energy</w:t>
            </w:r>
          </w:p>
        </w:tc>
      </w:tr>
      <w:tr w:rsidR="0083244F" w:rsidRPr="001A7FF1" w:rsidTr="00572288">
        <w:trPr>
          <w:jc w:val="center"/>
        </w:trPr>
        <w:tc>
          <w:tcPr>
            <w:tcW w:w="3261" w:type="dxa"/>
            <w:vMerge/>
            <w:shd w:val="clear" w:color="auto" w:fill="auto"/>
            <w:vAlign w:val="center"/>
          </w:tcPr>
          <w:p w:rsidR="0083244F" w:rsidRPr="001A7FF1" w:rsidRDefault="0083244F" w:rsidP="000F64CA">
            <w:pPr>
              <w:pStyle w:val="a7"/>
              <w:numPr>
                <w:ilvl w:val="0"/>
                <w:numId w:val="5"/>
              </w:numPr>
              <w:spacing w:line="240" w:lineRule="exact"/>
              <w:ind w:left="0" w:firstLine="0"/>
              <w:jc w:val="both"/>
              <w:rPr>
                <w:rFonts w:ascii="Times New Roman" w:eastAsia="Calibri" w:hAnsi="Times New Roman" w:cs="Times New Roman"/>
                <w:sz w:val="20"/>
                <w:szCs w:val="20"/>
              </w:rPr>
            </w:pPr>
          </w:p>
        </w:tc>
        <w:tc>
          <w:tcPr>
            <w:tcW w:w="1631" w:type="dxa"/>
            <w:shd w:val="clear" w:color="auto" w:fill="auto"/>
            <w:vAlign w:val="center"/>
          </w:tcPr>
          <w:p w:rsidR="0083244F" w:rsidRPr="001A7FF1" w:rsidRDefault="0083244F" w:rsidP="000F64CA">
            <w:pPr>
              <w:spacing w:line="240" w:lineRule="exact"/>
              <w:rPr>
                <w:rFonts w:eastAsia="Calibri"/>
                <w:sz w:val="20"/>
                <w:szCs w:val="20"/>
              </w:rPr>
            </w:pPr>
            <w:r w:rsidRPr="001A7FF1">
              <w:rPr>
                <w:rFonts w:eastAsia="Calibri"/>
                <w:sz w:val="20"/>
                <w:szCs w:val="20"/>
              </w:rPr>
              <w:t>14</w:t>
            </w:r>
          </w:p>
        </w:tc>
        <w:tc>
          <w:tcPr>
            <w:tcW w:w="4039" w:type="dxa"/>
            <w:vMerge/>
            <w:shd w:val="clear" w:color="auto" w:fill="auto"/>
            <w:vAlign w:val="center"/>
          </w:tcPr>
          <w:p w:rsidR="0083244F" w:rsidRPr="001A7FF1" w:rsidRDefault="0083244F" w:rsidP="000F64CA">
            <w:pPr>
              <w:spacing w:line="240" w:lineRule="exact"/>
              <w:rPr>
                <w:rFonts w:eastAsia="Calibri"/>
                <w:sz w:val="20"/>
                <w:szCs w:val="20"/>
              </w:rPr>
            </w:pPr>
          </w:p>
        </w:tc>
      </w:tr>
      <w:tr w:rsidR="0083244F" w:rsidRPr="001A7FF1" w:rsidTr="00572288">
        <w:trPr>
          <w:jc w:val="center"/>
        </w:trPr>
        <w:tc>
          <w:tcPr>
            <w:tcW w:w="3261" w:type="dxa"/>
            <w:vMerge w:val="restart"/>
            <w:shd w:val="clear" w:color="auto" w:fill="auto"/>
            <w:vAlign w:val="center"/>
          </w:tcPr>
          <w:p w:rsidR="0083244F" w:rsidRPr="001A7FF1" w:rsidRDefault="0083244F" w:rsidP="000F64CA">
            <w:pPr>
              <w:pStyle w:val="a7"/>
              <w:spacing w:line="240" w:lineRule="exact"/>
              <w:jc w:val="both"/>
              <w:rPr>
                <w:rFonts w:ascii="Times New Roman" w:eastAsia="Calibri" w:hAnsi="Times New Roman" w:cs="Times New Roman"/>
                <w:sz w:val="20"/>
                <w:szCs w:val="20"/>
              </w:rPr>
            </w:pPr>
            <w:r w:rsidRPr="001A7FF1">
              <w:rPr>
                <w:rFonts w:ascii="Times New Roman" w:hAnsi="Times New Roman" w:cs="Times New Roman"/>
                <w:sz w:val="20"/>
                <w:szCs w:val="20"/>
                <w:lang w:val="id-ID"/>
              </w:rPr>
              <w:t>Analyzing the relationship of work and potential energy</w:t>
            </w:r>
          </w:p>
        </w:tc>
        <w:tc>
          <w:tcPr>
            <w:tcW w:w="1631" w:type="dxa"/>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15</w:t>
            </w:r>
          </w:p>
        </w:tc>
        <w:tc>
          <w:tcPr>
            <w:tcW w:w="4039" w:type="dxa"/>
            <w:vMerge w:val="restart"/>
            <w:shd w:val="clear" w:color="auto" w:fill="auto"/>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lang w:val="id-ID"/>
              </w:rPr>
              <w:t>After the students discuss about the relationship of work and potential energy</w:t>
            </w:r>
            <w:r w:rsidRPr="001A7FF1">
              <w:rPr>
                <w:rFonts w:ascii="Times New Roman" w:hAnsi="Times New Roman" w:cs="Times New Roman"/>
                <w:sz w:val="20"/>
                <w:szCs w:val="20"/>
              </w:rPr>
              <w:t xml:space="preserve"> </w:t>
            </w:r>
          </w:p>
        </w:tc>
      </w:tr>
      <w:tr w:rsidR="0083244F" w:rsidRPr="001A7FF1" w:rsidTr="00572288">
        <w:trPr>
          <w:jc w:val="center"/>
        </w:trPr>
        <w:tc>
          <w:tcPr>
            <w:tcW w:w="3261" w:type="dxa"/>
            <w:vMerge/>
            <w:shd w:val="clear" w:color="auto" w:fill="auto"/>
            <w:vAlign w:val="center"/>
          </w:tcPr>
          <w:p w:rsidR="0083244F" w:rsidRPr="001A7FF1" w:rsidRDefault="0083244F" w:rsidP="000F64CA">
            <w:pPr>
              <w:pStyle w:val="a7"/>
              <w:numPr>
                <w:ilvl w:val="0"/>
                <w:numId w:val="5"/>
              </w:numPr>
              <w:spacing w:line="240" w:lineRule="exact"/>
              <w:ind w:left="0" w:firstLine="0"/>
              <w:jc w:val="both"/>
              <w:rPr>
                <w:rFonts w:ascii="Times New Roman" w:eastAsia="Calibri" w:hAnsi="Times New Roman" w:cs="Times New Roman"/>
                <w:sz w:val="20"/>
                <w:szCs w:val="20"/>
              </w:rPr>
            </w:pPr>
          </w:p>
        </w:tc>
        <w:tc>
          <w:tcPr>
            <w:tcW w:w="1631" w:type="dxa"/>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16</w:t>
            </w:r>
          </w:p>
        </w:tc>
        <w:tc>
          <w:tcPr>
            <w:tcW w:w="4039" w:type="dxa"/>
            <w:vMerge/>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p>
        </w:tc>
      </w:tr>
      <w:tr w:rsidR="0083244F" w:rsidRPr="001A7FF1" w:rsidTr="00572288">
        <w:trPr>
          <w:jc w:val="center"/>
        </w:trPr>
        <w:tc>
          <w:tcPr>
            <w:tcW w:w="3261" w:type="dxa"/>
            <w:vMerge w:val="restart"/>
            <w:shd w:val="clear" w:color="auto" w:fill="auto"/>
            <w:vAlign w:val="center"/>
          </w:tcPr>
          <w:p w:rsidR="0083244F" w:rsidRPr="001A7FF1" w:rsidRDefault="0083244F" w:rsidP="000F64CA">
            <w:pPr>
              <w:pStyle w:val="a7"/>
              <w:spacing w:line="240" w:lineRule="exact"/>
              <w:jc w:val="both"/>
              <w:rPr>
                <w:rFonts w:ascii="Times New Roman" w:eastAsia="Calibri" w:hAnsi="Times New Roman" w:cs="Times New Roman"/>
                <w:sz w:val="20"/>
                <w:szCs w:val="20"/>
              </w:rPr>
            </w:pPr>
            <w:r w:rsidRPr="001A7FF1">
              <w:rPr>
                <w:rFonts w:ascii="Times New Roman" w:hAnsi="Times New Roman" w:cs="Times New Roman"/>
                <w:sz w:val="20"/>
                <w:szCs w:val="20"/>
                <w:lang w:val="id-ID"/>
              </w:rPr>
              <w:t>Analyzing the relationship of work and kinetic energy</w:t>
            </w:r>
          </w:p>
        </w:tc>
        <w:tc>
          <w:tcPr>
            <w:tcW w:w="1631" w:type="dxa"/>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17</w:t>
            </w:r>
          </w:p>
        </w:tc>
        <w:tc>
          <w:tcPr>
            <w:tcW w:w="4039" w:type="dxa"/>
            <w:vMerge w:val="restart"/>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lang w:val="id-ID"/>
              </w:rPr>
              <w:t xml:space="preserve">After the students learn the relationship of work and kinetic energy </w:t>
            </w:r>
          </w:p>
        </w:tc>
      </w:tr>
      <w:tr w:rsidR="0083244F" w:rsidRPr="001A7FF1" w:rsidTr="00572288">
        <w:trPr>
          <w:jc w:val="center"/>
        </w:trPr>
        <w:tc>
          <w:tcPr>
            <w:tcW w:w="3261" w:type="dxa"/>
            <w:vMerge/>
            <w:shd w:val="clear" w:color="auto" w:fill="auto"/>
            <w:vAlign w:val="center"/>
          </w:tcPr>
          <w:p w:rsidR="0083244F" w:rsidRPr="001A7FF1" w:rsidRDefault="0083244F" w:rsidP="000F64CA">
            <w:pPr>
              <w:pStyle w:val="a7"/>
              <w:numPr>
                <w:ilvl w:val="0"/>
                <w:numId w:val="5"/>
              </w:numPr>
              <w:spacing w:line="240" w:lineRule="exact"/>
              <w:ind w:left="0" w:firstLine="0"/>
              <w:jc w:val="both"/>
              <w:rPr>
                <w:rFonts w:ascii="Times New Roman" w:eastAsia="Calibri" w:hAnsi="Times New Roman" w:cs="Times New Roman"/>
                <w:sz w:val="20"/>
                <w:szCs w:val="20"/>
              </w:rPr>
            </w:pPr>
          </w:p>
        </w:tc>
        <w:tc>
          <w:tcPr>
            <w:tcW w:w="1631" w:type="dxa"/>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18</w:t>
            </w:r>
          </w:p>
        </w:tc>
        <w:tc>
          <w:tcPr>
            <w:tcW w:w="4039" w:type="dxa"/>
            <w:vMerge/>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p>
        </w:tc>
      </w:tr>
      <w:tr w:rsidR="0083244F" w:rsidRPr="001A7FF1" w:rsidTr="00572288">
        <w:trPr>
          <w:jc w:val="center"/>
        </w:trPr>
        <w:tc>
          <w:tcPr>
            <w:tcW w:w="3261" w:type="dxa"/>
            <w:vMerge w:val="restart"/>
            <w:shd w:val="clear" w:color="auto" w:fill="auto"/>
            <w:vAlign w:val="center"/>
          </w:tcPr>
          <w:p w:rsidR="0083244F" w:rsidRPr="001A7FF1" w:rsidRDefault="0083244F" w:rsidP="000F64CA">
            <w:pPr>
              <w:pStyle w:val="a7"/>
              <w:spacing w:line="240" w:lineRule="exact"/>
              <w:jc w:val="both"/>
              <w:rPr>
                <w:rFonts w:ascii="Times New Roman" w:eastAsia="Calibri" w:hAnsi="Times New Roman" w:cs="Times New Roman"/>
                <w:sz w:val="20"/>
                <w:szCs w:val="20"/>
              </w:rPr>
            </w:pPr>
            <w:r w:rsidRPr="001A7FF1">
              <w:rPr>
                <w:rFonts w:ascii="Times New Roman" w:hAnsi="Times New Roman" w:cs="Times New Roman"/>
                <w:sz w:val="20"/>
                <w:szCs w:val="20"/>
                <w:lang w:val="id-ID"/>
              </w:rPr>
              <w:t>Proving the relationship of work and potential energy and kinetic energy</w:t>
            </w:r>
          </w:p>
        </w:tc>
        <w:tc>
          <w:tcPr>
            <w:tcW w:w="1631" w:type="dxa"/>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19</w:t>
            </w:r>
          </w:p>
        </w:tc>
        <w:tc>
          <w:tcPr>
            <w:tcW w:w="4039" w:type="dxa"/>
            <w:vMerge w:val="restart"/>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lang w:val="id-ID"/>
              </w:rPr>
              <w:t xml:space="preserve">After the students learn the equation of the relationship of work and kinetic energy </w:t>
            </w:r>
          </w:p>
        </w:tc>
      </w:tr>
      <w:tr w:rsidR="0083244F" w:rsidRPr="001A7FF1" w:rsidTr="00572288">
        <w:trPr>
          <w:jc w:val="center"/>
        </w:trPr>
        <w:tc>
          <w:tcPr>
            <w:tcW w:w="3261" w:type="dxa"/>
            <w:vMerge/>
            <w:shd w:val="clear" w:color="auto" w:fill="auto"/>
            <w:vAlign w:val="center"/>
          </w:tcPr>
          <w:p w:rsidR="0083244F" w:rsidRPr="001A7FF1" w:rsidRDefault="0083244F" w:rsidP="000F64CA">
            <w:pPr>
              <w:pStyle w:val="a7"/>
              <w:numPr>
                <w:ilvl w:val="0"/>
                <w:numId w:val="4"/>
              </w:numPr>
              <w:spacing w:line="240" w:lineRule="exact"/>
              <w:ind w:left="0" w:firstLine="0"/>
              <w:jc w:val="both"/>
              <w:rPr>
                <w:rFonts w:ascii="Times New Roman" w:eastAsia="Calibri" w:hAnsi="Times New Roman" w:cs="Times New Roman"/>
                <w:sz w:val="20"/>
                <w:szCs w:val="20"/>
              </w:rPr>
            </w:pPr>
          </w:p>
        </w:tc>
        <w:tc>
          <w:tcPr>
            <w:tcW w:w="1631" w:type="dxa"/>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20</w:t>
            </w:r>
          </w:p>
        </w:tc>
        <w:tc>
          <w:tcPr>
            <w:tcW w:w="4039" w:type="dxa"/>
            <w:vMerge/>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p>
        </w:tc>
      </w:tr>
      <w:tr w:rsidR="0083244F" w:rsidRPr="001A7FF1" w:rsidTr="00572288">
        <w:trPr>
          <w:jc w:val="center"/>
        </w:trPr>
        <w:tc>
          <w:tcPr>
            <w:tcW w:w="3261" w:type="dxa"/>
            <w:shd w:val="clear" w:color="auto" w:fill="auto"/>
            <w:vAlign w:val="center"/>
          </w:tcPr>
          <w:p w:rsidR="0083244F" w:rsidRPr="001A7FF1" w:rsidRDefault="0083244F" w:rsidP="000F64CA">
            <w:pPr>
              <w:pStyle w:val="a7"/>
              <w:spacing w:line="240" w:lineRule="exact"/>
              <w:jc w:val="both"/>
              <w:rPr>
                <w:rFonts w:ascii="Times New Roman" w:eastAsia="Calibri" w:hAnsi="Times New Roman" w:cs="Times New Roman"/>
                <w:sz w:val="20"/>
                <w:szCs w:val="20"/>
                <w:lang w:val="id-ID"/>
              </w:rPr>
            </w:pPr>
            <w:r w:rsidRPr="001A7FF1">
              <w:rPr>
                <w:rFonts w:ascii="Times New Roman" w:hAnsi="Times New Roman" w:cs="Times New Roman"/>
                <w:sz w:val="20"/>
                <w:szCs w:val="20"/>
                <w:lang w:val="id-ID"/>
              </w:rPr>
              <w:t>Formulating the equation of the relationship of</w:t>
            </w:r>
            <w:r w:rsidRPr="001A7FF1">
              <w:rPr>
                <w:rFonts w:ascii="Times New Roman" w:hAnsi="Times New Roman" w:cs="Times New Roman"/>
                <w:sz w:val="20"/>
                <w:szCs w:val="20"/>
              </w:rPr>
              <w:t xml:space="preserve"> </w:t>
            </w:r>
            <w:r w:rsidRPr="001A7FF1">
              <w:rPr>
                <w:rFonts w:ascii="Times New Roman" w:hAnsi="Times New Roman" w:cs="Times New Roman"/>
                <w:sz w:val="20"/>
                <w:szCs w:val="20"/>
                <w:lang w:val="id-ID"/>
              </w:rPr>
              <w:t xml:space="preserve">work and </w:t>
            </w:r>
            <w:r w:rsidRPr="001A7FF1">
              <w:rPr>
                <w:rFonts w:ascii="Times New Roman" w:hAnsi="Times New Roman" w:cs="Times New Roman"/>
                <w:sz w:val="20"/>
                <w:szCs w:val="20"/>
              </w:rPr>
              <w:t xml:space="preserve"> </w:t>
            </w:r>
            <w:r w:rsidRPr="001A7FF1">
              <w:rPr>
                <w:rFonts w:ascii="Times New Roman" w:hAnsi="Times New Roman" w:cs="Times New Roman"/>
                <w:sz w:val="20"/>
                <w:szCs w:val="20"/>
                <w:lang w:val="id-ID"/>
              </w:rPr>
              <w:t>potential energy and kinetic energy</w:t>
            </w:r>
          </w:p>
        </w:tc>
        <w:tc>
          <w:tcPr>
            <w:tcW w:w="1631" w:type="dxa"/>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r w:rsidRPr="001A7FF1">
              <w:rPr>
                <w:rFonts w:ascii="Times New Roman" w:hAnsi="Times New Roman" w:cs="Times New Roman"/>
                <w:sz w:val="20"/>
                <w:szCs w:val="20"/>
              </w:rPr>
              <w:t>21</w:t>
            </w:r>
          </w:p>
        </w:tc>
        <w:tc>
          <w:tcPr>
            <w:tcW w:w="4039" w:type="dxa"/>
            <w:vMerge/>
            <w:shd w:val="clear" w:color="auto" w:fill="auto"/>
            <w:vAlign w:val="center"/>
          </w:tcPr>
          <w:p w:rsidR="0083244F" w:rsidRPr="001A7FF1" w:rsidRDefault="0083244F" w:rsidP="000F64CA">
            <w:pPr>
              <w:pStyle w:val="af"/>
              <w:spacing w:after="0" w:line="240" w:lineRule="exact"/>
              <w:ind w:left="0" w:right="0" w:firstLine="0"/>
              <w:contextualSpacing w:val="0"/>
              <w:jc w:val="both"/>
              <w:rPr>
                <w:rFonts w:ascii="Times New Roman" w:hAnsi="Times New Roman" w:cs="Times New Roman"/>
                <w:sz w:val="20"/>
                <w:szCs w:val="20"/>
              </w:rPr>
            </w:pPr>
          </w:p>
        </w:tc>
      </w:tr>
      <w:tr w:rsidR="0083244F" w:rsidRPr="001A7FF1" w:rsidTr="00572288">
        <w:trPr>
          <w:jc w:val="center"/>
        </w:trPr>
        <w:tc>
          <w:tcPr>
            <w:tcW w:w="3261" w:type="dxa"/>
            <w:vMerge w:val="restart"/>
            <w:shd w:val="clear" w:color="auto" w:fill="auto"/>
            <w:vAlign w:val="center"/>
          </w:tcPr>
          <w:p w:rsidR="0083244F" w:rsidRPr="001A7FF1" w:rsidRDefault="0083244F" w:rsidP="000F64CA">
            <w:pPr>
              <w:pStyle w:val="a7"/>
              <w:spacing w:line="240" w:lineRule="exact"/>
              <w:jc w:val="both"/>
              <w:rPr>
                <w:rFonts w:ascii="Times New Roman" w:eastAsia="Calibri" w:hAnsi="Times New Roman" w:cs="Times New Roman"/>
                <w:sz w:val="20"/>
                <w:szCs w:val="20"/>
              </w:rPr>
            </w:pPr>
            <w:r w:rsidRPr="001A7FF1">
              <w:rPr>
                <w:rFonts w:ascii="Times New Roman" w:hAnsi="Times New Roman" w:cs="Times New Roman"/>
                <w:sz w:val="20"/>
                <w:szCs w:val="20"/>
                <w:lang w:val="id-ID"/>
              </w:rPr>
              <w:t>Proving the problem solving of movement by using law</w:t>
            </w:r>
            <w:r w:rsidRPr="001A7FF1">
              <w:rPr>
                <w:rFonts w:ascii="Times New Roman" w:hAnsi="Times New Roman" w:cs="Times New Roman"/>
                <w:sz w:val="20"/>
                <w:szCs w:val="20"/>
              </w:rPr>
              <w:t xml:space="preserve"> </w:t>
            </w:r>
            <w:r w:rsidRPr="001A7FF1">
              <w:rPr>
                <w:rFonts w:ascii="Times New Roman" w:hAnsi="Times New Roman" w:cs="Times New Roman"/>
                <w:sz w:val="20"/>
                <w:szCs w:val="20"/>
                <w:lang w:val="id-ID"/>
              </w:rPr>
              <w:t>of Conservation of Mechanical Energy</w:t>
            </w:r>
          </w:p>
        </w:tc>
        <w:tc>
          <w:tcPr>
            <w:tcW w:w="1631" w:type="dxa"/>
            <w:shd w:val="clear" w:color="auto" w:fill="auto"/>
            <w:vAlign w:val="center"/>
          </w:tcPr>
          <w:p w:rsidR="0083244F" w:rsidRPr="001A7FF1" w:rsidRDefault="0083244F" w:rsidP="000F64CA">
            <w:pPr>
              <w:spacing w:line="240" w:lineRule="exact"/>
              <w:rPr>
                <w:rFonts w:eastAsia="Calibri"/>
                <w:sz w:val="20"/>
                <w:szCs w:val="20"/>
              </w:rPr>
            </w:pPr>
            <w:r w:rsidRPr="001A7FF1">
              <w:rPr>
                <w:rFonts w:eastAsia="Calibri"/>
                <w:sz w:val="20"/>
                <w:szCs w:val="20"/>
              </w:rPr>
              <w:t>22</w:t>
            </w:r>
          </w:p>
        </w:tc>
        <w:tc>
          <w:tcPr>
            <w:tcW w:w="4039" w:type="dxa"/>
            <w:vMerge w:val="restart"/>
            <w:shd w:val="clear" w:color="auto" w:fill="auto"/>
            <w:vAlign w:val="center"/>
          </w:tcPr>
          <w:p w:rsidR="0083244F" w:rsidRPr="001A7FF1" w:rsidRDefault="0083244F" w:rsidP="000F64CA">
            <w:pPr>
              <w:spacing w:line="240" w:lineRule="exact"/>
              <w:rPr>
                <w:rFonts w:eastAsia="Calibri"/>
                <w:sz w:val="20"/>
                <w:szCs w:val="20"/>
              </w:rPr>
            </w:pPr>
            <w:r w:rsidRPr="001A7FF1">
              <w:rPr>
                <w:rFonts w:eastAsia="Calibri"/>
                <w:sz w:val="20"/>
                <w:szCs w:val="20"/>
                <w:lang w:val="id-ID"/>
              </w:rPr>
              <w:t>After the students</w:t>
            </w:r>
            <w:r w:rsidRPr="001A7FF1">
              <w:rPr>
                <w:sz w:val="20"/>
                <w:szCs w:val="20"/>
                <w:lang w:val="id-ID"/>
              </w:rPr>
              <w:t xml:space="preserve"> learn </w:t>
            </w:r>
            <w:r w:rsidRPr="001A7FF1">
              <w:rPr>
                <w:rFonts w:eastAsia="Calibri"/>
                <w:sz w:val="20"/>
                <w:szCs w:val="20"/>
                <w:lang w:val="id-ID"/>
              </w:rPr>
              <w:t xml:space="preserve">the law of </w:t>
            </w:r>
            <w:r w:rsidRPr="001A7FF1">
              <w:rPr>
                <w:rFonts w:eastAsia="Calibri"/>
                <w:sz w:val="20"/>
                <w:szCs w:val="20"/>
              </w:rPr>
              <w:t xml:space="preserve"> </w:t>
            </w:r>
            <w:r w:rsidRPr="001A7FF1">
              <w:rPr>
                <w:rFonts w:eastAsia="Calibri"/>
                <w:sz w:val="20"/>
                <w:szCs w:val="20"/>
                <w:lang w:val="id-ID"/>
              </w:rPr>
              <w:t>mechanical energy conservation and its equation.</w:t>
            </w:r>
            <w:r w:rsidRPr="001A7FF1">
              <w:rPr>
                <w:rFonts w:eastAsia="Calibri"/>
                <w:sz w:val="20"/>
                <w:szCs w:val="20"/>
              </w:rPr>
              <w:t xml:space="preserve"> </w:t>
            </w:r>
          </w:p>
        </w:tc>
      </w:tr>
      <w:tr w:rsidR="0083244F" w:rsidRPr="001A7FF1" w:rsidTr="00572288">
        <w:trPr>
          <w:jc w:val="center"/>
        </w:trPr>
        <w:tc>
          <w:tcPr>
            <w:tcW w:w="3261" w:type="dxa"/>
            <w:vMerge/>
            <w:shd w:val="clear" w:color="auto" w:fill="auto"/>
            <w:vAlign w:val="center"/>
          </w:tcPr>
          <w:p w:rsidR="0083244F" w:rsidRPr="001A7FF1" w:rsidRDefault="0083244F" w:rsidP="000F64CA">
            <w:pPr>
              <w:pStyle w:val="a7"/>
              <w:numPr>
                <w:ilvl w:val="0"/>
                <w:numId w:val="4"/>
              </w:numPr>
              <w:spacing w:line="240" w:lineRule="exact"/>
              <w:ind w:left="0" w:firstLine="0"/>
              <w:jc w:val="both"/>
              <w:rPr>
                <w:rFonts w:ascii="Times New Roman" w:eastAsia="Calibri" w:hAnsi="Times New Roman" w:cs="Times New Roman"/>
                <w:sz w:val="20"/>
                <w:szCs w:val="20"/>
              </w:rPr>
            </w:pPr>
          </w:p>
        </w:tc>
        <w:tc>
          <w:tcPr>
            <w:tcW w:w="1631" w:type="dxa"/>
            <w:shd w:val="clear" w:color="auto" w:fill="auto"/>
            <w:vAlign w:val="center"/>
          </w:tcPr>
          <w:p w:rsidR="0083244F" w:rsidRPr="001A7FF1" w:rsidRDefault="0083244F" w:rsidP="000F64CA">
            <w:pPr>
              <w:spacing w:line="240" w:lineRule="exact"/>
              <w:rPr>
                <w:rFonts w:eastAsia="Calibri"/>
                <w:sz w:val="20"/>
                <w:szCs w:val="20"/>
              </w:rPr>
            </w:pPr>
            <w:r w:rsidRPr="001A7FF1">
              <w:rPr>
                <w:rFonts w:eastAsia="Calibri"/>
                <w:sz w:val="20"/>
                <w:szCs w:val="20"/>
              </w:rPr>
              <w:t>23</w:t>
            </w:r>
          </w:p>
        </w:tc>
        <w:tc>
          <w:tcPr>
            <w:tcW w:w="4039" w:type="dxa"/>
            <w:vMerge/>
            <w:shd w:val="clear" w:color="auto" w:fill="auto"/>
            <w:vAlign w:val="center"/>
          </w:tcPr>
          <w:p w:rsidR="0083244F" w:rsidRPr="001A7FF1" w:rsidRDefault="0083244F" w:rsidP="000F64CA">
            <w:pPr>
              <w:spacing w:line="240" w:lineRule="exact"/>
              <w:rPr>
                <w:rFonts w:eastAsia="Calibri"/>
                <w:sz w:val="20"/>
                <w:szCs w:val="20"/>
              </w:rPr>
            </w:pPr>
          </w:p>
        </w:tc>
      </w:tr>
      <w:tr w:rsidR="0083244F" w:rsidRPr="001A7FF1" w:rsidTr="00572288">
        <w:trPr>
          <w:jc w:val="center"/>
        </w:trPr>
        <w:tc>
          <w:tcPr>
            <w:tcW w:w="3261" w:type="dxa"/>
            <w:vMerge w:val="restart"/>
            <w:shd w:val="clear" w:color="auto" w:fill="auto"/>
            <w:vAlign w:val="center"/>
          </w:tcPr>
          <w:p w:rsidR="0083244F" w:rsidRPr="001A7FF1" w:rsidRDefault="0083244F" w:rsidP="000F64CA">
            <w:pPr>
              <w:pStyle w:val="a7"/>
              <w:spacing w:line="240" w:lineRule="exact"/>
              <w:jc w:val="both"/>
              <w:rPr>
                <w:rFonts w:ascii="Times New Roman" w:eastAsia="Calibri" w:hAnsi="Times New Roman" w:cs="Times New Roman"/>
                <w:sz w:val="20"/>
                <w:szCs w:val="20"/>
              </w:rPr>
            </w:pPr>
            <w:r w:rsidRPr="001A7FF1">
              <w:rPr>
                <w:rFonts w:ascii="Times New Roman" w:hAnsi="Times New Roman" w:cs="Times New Roman"/>
                <w:sz w:val="20"/>
                <w:szCs w:val="20"/>
                <w:lang w:val="id-ID"/>
              </w:rPr>
              <w:t>Designing the problem solving of movement by using law</w:t>
            </w:r>
            <w:r w:rsidRPr="001A7FF1">
              <w:rPr>
                <w:rFonts w:ascii="Times New Roman" w:hAnsi="Times New Roman" w:cs="Times New Roman"/>
                <w:sz w:val="20"/>
                <w:szCs w:val="20"/>
              </w:rPr>
              <w:t xml:space="preserve"> </w:t>
            </w:r>
            <w:r w:rsidRPr="001A7FF1">
              <w:rPr>
                <w:rFonts w:ascii="Times New Roman" w:hAnsi="Times New Roman" w:cs="Times New Roman"/>
                <w:sz w:val="20"/>
                <w:szCs w:val="20"/>
                <w:lang w:val="id-ID"/>
              </w:rPr>
              <w:t>of Conservation of Mechanical Energy</w:t>
            </w:r>
          </w:p>
        </w:tc>
        <w:tc>
          <w:tcPr>
            <w:tcW w:w="1631" w:type="dxa"/>
            <w:shd w:val="clear" w:color="auto" w:fill="auto"/>
            <w:vAlign w:val="center"/>
          </w:tcPr>
          <w:p w:rsidR="0083244F" w:rsidRPr="001A7FF1" w:rsidRDefault="0083244F" w:rsidP="000F64CA">
            <w:pPr>
              <w:spacing w:line="240" w:lineRule="exact"/>
              <w:rPr>
                <w:rFonts w:eastAsia="Calibri"/>
                <w:sz w:val="20"/>
                <w:szCs w:val="20"/>
              </w:rPr>
            </w:pPr>
            <w:r w:rsidRPr="001A7FF1">
              <w:rPr>
                <w:rFonts w:eastAsia="Calibri"/>
                <w:sz w:val="20"/>
                <w:szCs w:val="20"/>
              </w:rPr>
              <w:t>24</w:t>
            </w:r>
          </w:p>
        </w:tc>
        <w:tc>
          <w:tcPr>
            <w:tcW w:w="4039" w:type="dxa"/>
            <w:vMerge/>
            <w:shd w:val="clear" w:color="auto" w:fill="auto"/>
            <w:vAlign w:val="center"/>
          </w:tcPr>
          <w:p w:rsidR="0083244F" w:rsidRPr="001A7FF1" w:rsidRDefault="0083244F" w:rsidP="000F64CA">
            <w:pPr>
              <w:spacing w:line="240" w:lineRule="exact"/>
              <w:rPr>
                <w:rFonts w:eastAsia="Calibri"/>
                <w:sz w:val="20"/>
                <w:szCs w:val="20"/>
              </w:rPr>
            </w:pPr>
          </w:p>
        </w:tc>
      </w:tr>
      <w:tr w:rsidR="0083244F" w:rsidRPr="001A7FF1" w:rsidTr="00572288">
        <w:trPr>
          <w:jc w:val="center"/>
        </w:trPr>
        <w:tc>
          <w:tcPr>
            <w:tcW w:w="3261" w:type="dxa"/>
            <w:vMerge/>
            <w:shd w:val="clear" w:color="auto" w:fill="auto"/>
            <w:vAlign w:val="center"/>
          </w:tcPr>
          <w:p w:rsidR="0083244F" w:rsidRPr="001A7FF1" w:rsidRDefault="0083244F" w:rsidP="000F64CA">
            <w:pPr>
              <w:pStyle w:val="a7"/>
              <w:spacing w:line="240" w:lineRule="exact"/>
              <w:jc w:val="both"/>
              <w:rPr>
                <w:rFonts w:ascii="Times New Roman" w:eastAsia="Calibri" w:hAnsi="Times New Roman" w:cs="Times New Roman"/>
                <w:sz w:val="20"/>
                <w:szCs w:val="20"/>
              </w:rPr>
            </w:pPr>
          </w:p>
        </w:tc>
        <w:tc>
          <w:tcPr>
            <w:tcW w:w="1631" w:type="dxa"/>
            <w:shd w:val="clear" w:color="auto" w:fill="auto"/>
            <w:vAlign w:val="center"/>
          </w:tcPr>
          <w:p w:rsidR="0083244F" w:rsidRPr="001A7FF1" w:rsidRDefault="0083244F" w:rsidP="000F64CA">
            <w:pPr>
              <w:spacing w:line="240" w:lineRule="exact"/>
              <w:rPr>
                <w:rFonts w:eastAsia="Calibri"/>
                <w:sz w:val="20"/>
                <w:szCs w:val="20"/>
              </w:rPr>
            </w:pPr>
            <w:r w:rsidRPr="001A7FF1">
              <w:rPr>
                <w:rFonts w:eastAsia="Calibri"/>
                <w:sz w:val="20"/>
                <w:szCs w:val="20"/>
              </w:rPr>
              <w:t>25</w:t>
            </w:r>
          </w:p>
        </w:tc>
        <w:tc>
          <w:tcPr>
            <w:tcW w:w="4039" w:type="dxa"/>
            <w:vMerge/>
            <w:shd w:val="clear" w:color="auto" w:fill="auto"/>
            <w:vAlign w:val="center"/>
          </w:tcPr>
          <w:p w:rsidR="0083244F" w:rsidRPr="001A7FF1" w:rsidRDefault="0083244F" w:rsidP="000F64CA">
            <w:pPr>
              <w:spacing w:line="240" w:lineRule="exact"/>
              <w:rPr>
                <w:rFonts w:eastAsia="Calibri"/>
                <w:sz w:val="20"/>
                <w:szCs w:val="20"/>
              </w:rPr>
            </w:pPr>
          </w:p>
        </w:tc>
      </w:tr>
      <w:tr w:rsidR="0083244F" w:rsidRPr="001A7FF1" w:rsidTr="00572288">
        <w:trPr>
          <w:jc w:val="center"/>
        </w:trPr>
        <w:tc>
          <w:tcPr>
            <w:tcW w:w="3261" w:type="dxa"/>
            <w:vMerge/>
            <w:shd w:val="clear" w:color="auto" w:fill="auto"/>
            <w:vAlign w:val="center"/>
          </w:tcPr>
          <w:p w:rsidR="0083244F" w:rsidRPr="001A7FF1" w:rsidRDefault="0083244F" w:rsidP="000F64CA">
            <w:pPr>
              <w:pStyle w:val="a7"/>
              <w:numPr>
                <w:ilvl w:val="0"/>
                <w:numId w:val="4"/>
              </w:numPr>
              <w:spacing w:line="240" w:lineRule="exact"/>
              <w:ind w:left="0" w:firstLine="0"/>
              <w:jc w:val="both"/>
              <w:rPr>
                <w:rFonts w:ascii="Times New Roman" w:eastAsia="Calibri" w:hAnsi="Times New Roman" w:cs="Times New Roman"/>
                <w:sz w:val="20"/>
                <w:szCs w:val="20"/>
              </w:rPr>
            </w:pPr>
          </w:p>
        </w:tc>
        <w:tc>
          <w:tcPr>
            <w:tcW w:w="1631" w:type="dxa"/>
            <w:shd w:val="clear" w:color="auto" w:fill="auto"/>
            <w:vAlign w:val="center"/>
          </w:tcPr>
          <w:p w:rsidR="0083244F" w:rsidRPr="001A7FF1" w:rsidRDefault="0083244F" w:rsidP="000F64CA">
            <w:pPr>
              <w:spacing w:line="240" w:lineRule="exact"/>
              <w:rPr>
                <w:rFonts w:eastAsia="Calibri"/>
                <w:sz w:val="20"/>
                <w:szCs w:val="20"/>
              </w:rPr>
            </w:pPr>
            <w:r w:rsidRPr="001A7FF1">
              <w:rPr>
                <w:rFonts w:eastAsia="Calibri"/>
                <w:sz w:val="20"/>
                <w:szCs w:val="20"/>
              </w:rPr>
              <w:t>26</w:t>
            </w:r>
          </w:p>
        </w:tc>
        <w:tc>
          <w:tcPr>
            <w:tcW w:w="4039" w:type="dxa"/>
            <w:vMerge/>
            <w:shd w:val="clear" w:color="auto" w:fill="auto"/>
            <w:vAlign w:val="center"/>
          </w:tcPr>
          <w:p w:rsidR="0083244F" w:rsidRPr="001A7FF1" w:rsidRDefault="0083244F" w:rsidP="000F64CA">
            <w:pPr>
              <w:spacing w:line="240" w:lineRule="exact"/>
              <w:rPr>
                <w:rFonts w:eastAsia="Calibri"/>
                <w:sz w:val="20"/>
                <w:szCs w:val="20"/>
              </w:rPr>
            </w:pPr>
          </w:p>
        </w:tc>
      </w:tr>
    </w:tbl>
    <w:p w:rsidR="00EF200A" w:rsidRDefault="00EF200A" w:rsidP="00EF200A">
      <w:pPr>
        <w:pStyle w:val="text"/>
      </w:pPr>
    </w:p>
    <w:p w:rsidR="0083244F" w:rsidRPr="001A7FF1" w:rsidRDefault="0083244F" w:rsidP="00EF200A">
      <w:pPr>
        <w:pStyle w:val="text"/>
      </w:pPr>
      <w:r w:rsidRPr="001A7FF1">
        <w:t xml:space="preserve">The learning were conducted in three classes, namely MIA 1 </w:t>
      </w:r>
      <w:r w:rsidRPr="001A7FF1">
        <w:rPr>
          <w:lang w:val="id-ID"/>
        </w:rPr>
        <w:t xml:space="preserve">which </w:t>
      </w:r>
      <w:r w:rsidRPr="001A7FF1">
        <w:t xml:space="preserve">used the </w:t>
      </w:r>
      <w:r w:rsidRPr="001A7FF1">
        <w:rPr>
          <w:lang w:val="id-ID"/>
        </w:rPr>
        <w:t>true</w:t>
      </w:r>
      <w:r w:rsidRPr="001A7FF1">
        <w:t>-</w:t>
      </w:r>
      <w:r w:rsidRPr="001A7FF1">
        <w:rPr>
          <w:lang w:val="id-ID"/>
        </w:rPr>
        <w:t xml:space="preserve">false </w:t>
      </w:r>
      <w:r w:rsidRPr="001A7FF1">
        <w:t xml:space="preserve">type ongoing assessment, MIA 3 </w:t>
      </w:r>
      <w:r w:rsidRPr="001A7FF1">
        <w:rPr>
          <w:lang w:val="id-ID"/>
        </w:rPr>
        <w:t xml:space="preserve">which used </w:t>
      </w:r>
      <w:r w:rsidRPr="001A7FF1">
        <w:t>multiple choice type ongoing assessment</w:t>
      </w:r>
      <w:r w:rsidRPr="001A7FF1">
        <w:rPr>
          <w:lang w:val="id-ID"/>
        </w:rPr>
        <w:t>,</w:t>
      </w:r>
      <w:r w:rsidRPr="001A7FF1">
        <w:t xml:space="preserve"> </w:t>
      </w:r>
      <w:r w:rsidRPr="001A7FF1">
        <w:rPr>
          <w:lang w:val="id-ID"/>
        </w:rPr>
        <w:t>MIA 4 which used essay type</w:t>
      </w:r>
      <w:r w:rsidRPr="001A7FF1">
        <w:t xml:space="preserve"> </w:t>
      </w:r>
      <w:r w:rsidRPr="001A7FF1">
        <w:rPr>
          <w:lang w:val="id-ID"/>
        </w:rPr>
        <w:t>ongoing assessment</w:t>
      </w:r>
      <w:r w:rsidRPr="001A7FF1">
        <w:t xml:space="preserve">. The trial was conducted in three stages, namely pre-test, learning with ongoing assessment, and post-test. The pre-test was given to </w:t>
      </w:r>
      <w:r w:rsidRPr="001A7FF1">
        <w:rPr>
          <w:lang w:val="id-ID"/>
        </w:rPr>
        <w:t>discover</w:t>
      </w:r>
      <w:r w:rsidRPr="001A7FF1">
        <w:t xml:space="preserve"> students' initial knowledge </w:t>
      </w:r>
      <w:r w:rsidRPr="001A7FF1">
        <w:rPr>
          <w:lang w:val="id-ID"/>
        </w:rPr>
        <w:t xml:space="preserve">concerning on </w:t>
      </w:r>
      <w:r w:rsidRPr="001A7FF1">
        <w:t xml:space="preserve">the material before learning. The results of the </w:t>
      </w:r>
      <w:r w:rsidRPr="001A7FF1">
        <w:rPr>
          <w:lang w:val="id-ID"/>
        </w:rPr>
        <w:t>mean of</w:t>
      </w:r>
      <w:r w:rsidRPr="001A7FF1">
        <w:t xml:space="preserve"> pre-test of the three classes are presented in Figure 1. </w:t>
      </w:r>
    </w:p>
    <w:p w:rsidR="00EF200A" w:rsidRDefault="00EF200A" w:rsidP="00EF200A">
      <w:pPr>
        <w:pStyle w:val="figure"/>
      </w:pPr>
      <w:r>
        <w:lastRenderedPageBreak/>
        <w:drawing>
          <wp:inline distT="0" distB="0" distL="0" distR="0" wp14:anchorId="51E6FD37" wp14:editId="622B1C41">
            <wp:extent cx="2879090" cy="18084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616" b="2455"/>
                    <a:stretch/>
                  </pic:blipFill>
                  <pic:spPr bwMode="auto">
                    <a:xfrm>
                      <a:off x="0" y="0"/>
                      <a:ext cx="2880000" cy="1809052"/>
                    </a:xfrm>
                    <a:prstGeom prst="rect">
                      <a:avLst/>
                    </a:prstGeom>
                    <a:ln>
                      <a:noFill/>
                    </a:ln>
                    <a:extLst>
                      <a:ext uri="{53640926-AAD7-44D8-BBD7-CCE9431645EC}">
                        <a14:shadowObscured xmlns:a14="http://schemas.microsoft.com/office/drawing/2010/main"/>
                      </a:ext>
                    </a:extLst>
                  </pic:spPr>
                </pic:pic>
              </a:graphicData>
            </a:graphic>
          </wp:inline>
        </w:drawing>
      </w:r>
    </w:p>
    <w:p w:rsidR="0083244F" w:rsidRPr="001A7FF1" w:rsidRDefault="0083244F" w:rsidP="00EF200A">
      <w:pPr>
        <w:pStyle w:val="authorname"/>
      </w:pPr>
      <w:r w:rsidRPr="001A7FF1">
        <w:t>Figure 1. The Mean of Pre-test Score in Each Class</w:t>
      </w:r>
    </w:p>
    <w:p w:rsidR="00C25FE2" w:rsidRDefault="00C25FE2" w:rsidP="00C25FE2">
      <w:pPr>
        <w:pStyle w:val="text"/>
        <w:rPr>
          <w:lang w:val="id-ID"/>
        </w:rPr>
      </w:pPr>
    </w:p>
    <w:p w:rsidR="0083244F" w:rsidRPr="001A7FF1" w:rsidRDefault="0083244F" w:rsidP="00C25FE2">
      <w:pPr>
        <w:pStyle w:val="text"/>
      </w:pPr>
      <w:r w:rsidRPr="001A7FF1">
        <w:rPr>
          <w:lang w:val="id-ID"/>
        </w:rPr>
        <w:t>Based on Figure 1, it is known that pre-test scores means from three classes is different. The difference in the pre-test scores means that students' initial abilities in each class are different.</w:t>
      </w:r>
    </w:p>
    <w:p w:rsidR="0083244F" w:rsidRPr="001A7FF1" w:rsidRDefault="0083244F" w:rsidP="00C25FE2">
      <w:pPr>
        <w:pStyle w:val="text"/>
      </w:pPr>
      <w:r w:rsidRPr="001A7FF1">
        <w:rPr>
          <w:lang w:val="id-ID"/>
        </w:rPr>
        <w:t xml:space="preserve">While the results of the post-test can be seen in Figure </w:t>
      </w:r>
      <w:r w:rsidRPr="001A7FF1">
        <w:t>2</w:t>
      </w:r>
      <w:r w:rsidRPr="001A7FF1">
        <w:rPr>
          <w:lang w:val="id-ID"/>
        </w:rPr>
        <w:t>. The distribution of post-tests aims to test students' critical abilities and conceptual knowledge after learning.</w:t>
      </w:r>
      <w:r w:rsidRPr="001A7FF1">
        <w:t xml:space="preserve"> Figure 2. shows that the </w:t>
      </w:r>
      <w:r w:rsidRPr="001A7FF1">
        <w:rPr>
          <w:lang w:val="id-ID"/>
        </w:rPr>
        <w:t xml:space="preserve">mean of </w:t>
      </w:r>
      <w:r w:rsidRPr="001A7FF1">
        <w:t xml:space="preserve">post-test </w:t>
      </w:r>
      <w:r w:rsidRPr="001A7FF1">
        <w:rPr>
          <w:lang w:val="id-ID"/>
        </w:rPr>
        <w:t>from</w:t>
      </w:r>
      <w:r w:rsidRPr="001A7FF1">
        <w:t xml:space="preserve"> the three classes is different. </w:t>
      </w:r>
    </w:p>
    <w:p w:rsidR="0083244F" w:rsidRPr="001A7FF1" w:rsidRDefault="00C25FE2" w:rsidP="00C25FE2">
      <w:pPr>
        <w:pStyle w:val="figure"/>
        <w:rPr>
          <w:szCs w:val="20"/>
        </w:rPr>
      </w:pPr>
      <w:r>
        <w:drawing>
          <wp:inline distT="0" distB="0" distL="0" distR="0" wp14:anchorId="6AECCFB9" wp14:editId="72EED857">
            <wp:extent cx="2878790" cy="18135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357" b="1764"/>
                    <a:stretch/>
                  </pic:blipFill>
                  <pic:spPr bwMode="auto">
                    <a:xfrm>
                      <a:off x="0" y="0"/>
                      <a:ext cx="2880000" cy="1814322"/>
                    </a:xfrm>
                    <a:prstGeom prst="rect">
                      <a:avLst/>
                    </a:prstGeom>
                    <a:ln>
                      <a:noFill/>
                    </a:ln>
                    <a:extLst>
                      <a:ext uri="{53640926-AAD7-44D8-BBD7-CCE9431645EC}">
                        <a14:shadowObscured xmlns:a14="http://schemas.microsoft.com/office/drawing/2010/main"/>
                      </a:ext>
                    </a:extLst>
                  </pic:spPr>
                </pic:pic>
              </a:graphicData>
            </a:graphic>
          </wp:inline>
        </w:drawing>
      </w:r>
    </w:p>
    <w:p w:rsidR="0083244F" w:rsidRDefault="0083244F" w:rsidP="00C25FE2">
      <w:pPr>
        <w:pStyle w:val="authorname"/>
      </w:pPr>
      <w:r w:rsidRPr="001A7FF1">
        <w:t>Figure 2. The Mean of Post-test Score in Each Class</w:t>
      </w:r>
    </w:p>
    <w:p w:rsidR="00C25FE2" w:rsidRPr="001A7FF1" w:rsidRDefault="00C25FE2" w:rsidP="00C25FE2">
      <w:pPr>
        <w:pStyle w:val="text"/>
      </w:pPr>
    </w:p>
    <w:p w:rsidR="0083244F" w:rsidRPr="001A7FF1" w:rsidRDefault="0083244F" w:rsidP="00C25FE2">
      <w:pPr>
        <w:pStyle w:val="text"/>
      </w:pPr>
      <w:r w:rsidRPr="001A7FF1">
        <w:t xml:space="preserve">Based on Figure 3, the </w:t>
      </w:r>
      <w:r w:rsidRPr="001A7FF1">
        <w:rPr>
          <w:lang w:val="id-ID"/>
        </w:rPr>
        <w:t>mean of</w:t>
      </w:r>
      <w:r w:rsidRPr="001A7FF1">
        <w:t xml:space="preserve"> n-gain of each class</w:t>
      </w:r>
      <w:r w:rsidRPr="001A7FF1">
        <w:rPr>
          <w:lang w:val="id-ID"/>
        </w:rPr>
        <w:t xml:space="preserve"> is </w:t>
      </w:r>
      <w:r w:rsidRPr="001A7FF1">
        <w:rPr>
          <w:noProof/>
          <w:lang w:val="id-ID"/>
        </w:rPr>
        <w:t>shown</w:t>
      </w:r>
      <w:r w:rsidRPr="001A7FF1">
        <w:t>. After being converted according to</w:t>
      </w:r>
      <w:r w:rsidRPr="001A7FF1">
        <w:rPr>
          <w:lang w:val="id-ID"/>
        </w:rPr>
        <w:t xml:space="preserve"> the</w:t>
      </w:r>
      <w:r w:rsidRPr="001A7FF1">
        <w:t xml:space="preserve"> Table 3, the </w:t>
      </w:r>
      <w:r w:rsidRPr="001A7FF1">
        <w:rPr>
          <w:lang w:val="id-ID"/>
        </w:rPr>
        <w:t>mean of</w:t>
      </w:r>
      <w:r w:rsidRPr="001A7FF1">
        <w:t xml:space="preserve"> n-gain of MIA 1 and MIA 3 is in the medium category, so it can be concluded that learning using ongoing assessment in both classes is quite effective. While</w:t>
      </w:r>
      <w:r w:rsidRPr="001A7FF1">
        <w:rPr>
          <w:lang w:val="id-ID"/>
        </w:rPr>
        <w:t>,</w:t>
      </w:r>
      <w:r w:rsidRPr="001A7FF1">
        <w:t xml:space="preserve"> the </w:t>
      </w:r>
      <w:r w:rsidRPr="001A7FF1">
        <w:rPr>
          <w:lang w:val="id-ID"/>
        </w:rPr>
        <w:t>mean</w:t>
      </w:r>
      <w:r w:rsidRPr="001A7FF1">
        <w:t xml:space="preserve"> </w:t>
      </w:r>
      <w:r w:rsidRPr="001A7FF1">
        <w:rPr>
          <w:lang w:val="id-ID"/>
        </w:rPr>
        <w:t>of</w:t>
      </w:r>
      <w:r w:rsidRPr="001A7FF1">
        <w:t xml:space="preserve"> n-gain of MIA 4 is in the low category. It shows that </w:t>
      </w:r>
      <w:r w:rsidRPr="001A7FF1">
        <w:rPr>
          <w:lang w:val="id-ID"/>
        </w:rPr>
        <w:t xml:space="preserve">the </w:t>
      </w:r>
      <w:r w:rsidRPr="001A7FF1">
        <w:t xml:space="preserve">learning using ongoing assessment at MIA 4 is less effective. These results are also in accordance with statistical analysis using One Way </w:t>
      </w:r>
      <w:r w:rsidRPr="001A7FF1">
        <w:rPr>
          <w:noProof/>
        </w:rPr>
        <w:t>Anova</w:t>
      </w:r>
      <w:r w:rsidRPr="001A7FF1">
        <w:t xml:space="preserve"> </w:t>
      </w:r>
      <w:r w:rsidRPr="001A7FF1">
        <w:rPr>
          <w:lang w:val="id-ID"/>
        </w:rPr>
        <w:t xml:space="preserve">which are </w:t>
      </w:r>
      <w:r w:rsidRPr="001A7FF1">
        <w:t>shown in Table 6.</w:t>
      </w:r>
    </w:p>
    <w:p w:rsidR="000F64CA" w:rsidRDefault="00C25FE2" w:rsidP="00C25FE2">
      <w:pPr>
        <w:pStyle w:val="figure"/>
        <w:rPr>
          <w:lang w:val="id-ID"/>
        </w:rPr>
      </w:pPr>
      <w:r>
        <w:drawing>
          <wp:inline distT="0" distB="0" distL="0" distR="0" wp14:anchorId="3508726F" wp14:editId="43A6434D">
            <wp:extent cx="2878455" cy="17983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912" b="1380"/>
                    <a:stretch/>
                  </pic:blipFill>
                  <pic:spPr bwMode="auto">
                    <a:xfrm>
                      <a:off x="0" y="0"/>
                      <a:ext cx="2880000" cy="1799285"/>
                    </a:xfrm>
                    <a:prstGeom prst="rect">
                      <a:avLst/>
                    </a:prstGeom>
                    <a:ln>
                      <a:noFill/>
                    </a:ln>
                    <a:extLst>
                      <a:ext uri="{53640926-AAD7-44D8-BBD7-CCE9431645EC}">
                        <a14:shadowObscured xmlns:a14="http://schemas.microsoft.com/office/drawing/2010/main"/>
                      </a:ext>
                    </a:extLst>
                  </pic:spPr>
                </pic:pic>
              </a:graphicData>
            </a:graphic>
          </wp:inline>
        </w:drawing>
      </w:r>
      <w:r w:rsidRPr="001A7FF1">
        <w:rPr>
          <w:lang w:val="id-ID"/>
        </w:rPr>
        <w:t xml:space="preserve"> </w:t>
      </w:r>
    </w:p>
    <w:p w:rsidR="0083244F" w:rsidRPr="001A7FF1" w:rsidRDefault="0083244F" w:rsidP="000F64CA">
      <w:pPr>
        <w:pStyle w:val="authorname"/>
      </w:pPr>
      <w:r w:rsidRPr="001A7FF1">
        <w:t>Figure 3. The Mean of N-Gain in Each Class</w:t>
      </w:r>
    </w:p>
    <w:p w:rsidR="0083244F" w:rsidRPr="001A7FF1" w:rsidRDefault="0083244F" w:rsidP="000F64CA">
      <w:pPr>
        <w:pStyle w:val="text"/>
      </w:pPr>
      <w:r w:rsidRPr="001A7FF1">
        <w:rPr>
          <w:lang w:val="id-ID"/>
        </w:rPr>
        <w:lastRenderedPageBreak/>
        <w:t xml:space="preserve">Based on the data in Table </w:t>
      </w:r>
      <w:r w:rsidRPr="001A7FF1">
        <w:t>5</w:t>
      </w:r>
      <w:r w:rsidRPr="001A7FF1">
        <w:rPr>
          <w:lang w:val="id-ID"/>
        </w:rPr>
        <w:t xml:space="preserve">, it is known that the significance value is less than 0.05. </w:t>
      </w:r>
      <w:r w:rsidRPr="001A7FF1">
        <w:t>This shows that there are differences in n-gain from the three classes. Based on the results of the post ANOVA test, Tukey HSD test, in Table 6 shows that MIA 4 has a n-gain difference with MIA 1 and MIA 3.</w:t>
      </w:r>
    </w:p>
    <w:p w:rsidR="000F64CA" w:rsidRDefault="000F64CA" w:rsidP="000F64CA">
      <w:pPr>
        <w:pStyle w:val="text"/>
      </w:pPr>
    </w:p>
    <w:p w:rsidR="0083244F" w:rsidRPr="001A7FF1" w:rsidRDefault="0083244F" w:rsidP="000F64CA">
      <w:pPr>
        <w:pStyle w:val="text"/>
      </w:pPr>
      <w:r w:rsidRPr="001A7FF1">
        <w:t xml:space="preserve">Table 5. </w:t>
      </w:r>
      <w:r w:rsidRPr="001A7FF1">
        <w:rPr>
          <w:lang w:val="id-ID"/>
        </w:rPr>
        <w:t xml:space="preserve">The Results of </w:t>
      </w:r>
      <w:r w:rsidRPr="001A7FF1">
        <w:t xml:space="preserve">One Way Anova </w:t>
      </w:r>
      <w:r w:rsidRPr="001A7FF1">
        <w:rPr>
          <w:lang w:val="id-ID"/>
        </w:rPr>
        <w:t>from</w:t>
      </w:r>
      <w:r w:rsidRPr="001A7FF1">
        <w:t xml:space="preserve"> N-Gain</w:t>
      </w:r>
    </w:p>
    <w:tbl>
      <w:tblPr>
        <w:tblW w:w="0" w:type="auto"/>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985"/>
        <w:gridCol w:w="2126"/>
        <w:gridCol w:w="1134"/>
        <w:gridCol w:w="1559"/>
        <w:gridCol w:w="993"/>
        <w:gridCol w:w="1275"/>
      </w:tblGrid>
      <w:tr w:rsidR="0083244F" w:rsidRPr="001A7FF1" w:rsidTr="000F64CA">
        <w:trPr>
          <w:cantSplit/>
          <w:jc w:val="center"/>
        </w:trPr>
        <w:tc>
          <w:tcPr>
            <w:tcW w:w="1985" w:type="dxa"/>
            <w:tcBorders>
              <w:top w:val="single" w:sz="4" w:space="0" w:color="auto"/>
              <w:bottom w:val="single" w:sz="4" w:space="0" w:color="auto"/>
            </w:tcBorders>
            <w:shd w:val="clear" w:color="auto" w:fill="FFFFFF"/>
          </w:tcPr>
          <w:p w:rsidR="0083244F" w:rsidRPr="001A7FF1" w:rsidRDefault="0083244F" w:rsidP="000F64CA">
            <w:pPr>
              <w:autoSpaceDE w:val="0"/>
              <w:autoSpaceDN w:val="0"/>
              <w:spacing w:line="240" w:lineRule="exact"/>
              <w:rPr>
                <w:sz w:val="20"/>
                <w:szCs w:val="20"/>
              </w:rPr>
            </w:pPr>
          </w:p>
        </w:tc>
        <w:tc>
          <w:tcPr>
            <w:tcW w:w="2126" w:type="dxa"/>
            <w:tcBorders>
              <w:top w:val="single" w:sz="4" w:space="0" w:color="auto"/>
              <w:bottom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Sum of Squares</w:t>
            </w:r>
          </w:p>
        </w:tc>
        <w:tc>
          <w:tcPr>
            <w:tcW w:w="1134" w:type="dxa"/>
            <w:tcBorders>
              <w:top w:val="single" w:sz="4" w:space="0" w:color="auto"/>
              <w:bottom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df</w:t>
            </w:r>
          </w:p>
        </w:tc>
        <w:tc>
          <w:tcPr>
            <w:tcW w:w="1559" w:type="dxa"/>
            <w:tcBorders>
              <w:top w:val="single" w:sz="4" w:space="0" w:color="auto"/>
              <w:bottom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Mean Square</w:t>
            </w:r>
          </w:p>
        </w:tc>
        <w:tc>
          <w:tcPr>
            <w:tcW w:w="993" w:type="dxa"/>
            <w:tcBorders>
              <w:top w:val="single" w:sz="4" w:space="0" w:color="auto"/>
              <w:bottom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F</w:t>
            </w:r>
          </w:p>
        </w:tc>
        <w:tc>
          <w:tcPr>
            <w:tcW w:w="1275" w:type="dxa"/>
            <w:tcBorders>
              <w:top w:val="single" w:sz="4" w:space="0" w:color="auto"/>
              <w:bottom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Sig.</w:t>
            </w:r>
          </w:p>
        </w:tc>
      </w:tr>
      <w:tr w:rsidR="0083244F" w:rsidRPr="001A7FF1" w:rsidTr="000F64CA">
        <w:trPr>
          <w:cantSplit/>
          <w:jc w:val="center"/>
        </w:trPr>
        <w:tc>
          <w:tcPr>
            <w:tcW w:w="1985" w:type="dxa"/>
            <w:tcBorders>
              <w:top w:val="single" w:sz="4" w:space="0" w:color="auto"/>
            </w:tcBorders>
            <w:shd w:val="clear" w:color="auto" w:fill="FFFFFF"/>
            <w:vAlign w:val="center"/>
          </w:tcPr>
          <w:p w:rsidR="0083244F" w:rsidRPr="001A7FF1" w:rsidRDefault="0083244F" w:rsidP="000F64CA">
            <w:pPr>
              <w:autoSpaceDE w:val="0"/>
              <w:autoSpaceDN w:val="0"/>
              <w:spacing w:line="240" w:lineRule="exact"/>
              <w:rPr>
                <w:sz w:val="20"/>
                <w:szCs w:val="20"/>
              </w:rPr>
            </w:pPr>
            <w:r w:rsidRPr="001A7FF1">
              <w:rPr>
                <w:sz w:val="20"/>
                <w:szCs w:val="20"/>
              </w:rPr>
              <w:t>Between Groups</w:t>
            </w:r>
          </w:p>
        </w:tc>
        <w:tc>
          <w:tcPr>
            <w:tcW w:w="2126" w:type="dxa"/>
            <w:tcBorders>
              <w:top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.316</w:t>
            </w:r>
          </w:p>
        </w:tc>
        <w:tc>
          <w:tcPr>
            <w:tcW w:w="1134" w:type="dxa"/>
            <w:tcBorders>
              <w:top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2</w:t>
            </w:r>
          </w:p>
        </w:tc>
        <w:tc>
          <w:tcPr>
            <w:tcW w:w="1559" w:type="dxa"/>
            <w:tcBorders>
              <w:top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.158</w:t>
            </w:r>
          </w:p>
        </w:tc>
        <w:tc>
          <w:tcPr>
            <w:tcW w:w="993" w:type="dxa"/>
            <w:tcBorders>
              <w:top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28.937</w:t>
            </w:r>
          </w:p>
        </w:tc>
        <w:tc>
          <w:tcPr>
            <w:tcW w:w="1275" w:type="dxa"/>
            <w:tcBorders>
              <w:top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.000</w:t>
            </w:r>
          </w:p>
        </w:tc>
      </w:tr>
      <w:tr w:rsidR="0083244F" w:rsidRPr="001A7FF1" w:rsidTr="000F64CA">
        <w:trPr>
          <w:cantSplit/>
          <w:jc w:val="center"/>
        </w:trPr>
        <w:tc>
          <w:tcPr>
            <w:tcW w:w="1985" w:type="dxa"/>
            <w:shd w:val="clear" w:color="auto" w:fill="FFFFFF"/>
            <w:vAlign w:val="center"/>
          </w:tcPr>
          <w:p w:rsidR="0083244F" w:rsidRPr="001A7FF1" w:rsidRDefault="0083244F" w:rsidP="000F64CA">
            <w:pPr>
              <w:autoSpaceDE w:val="0"/>
              <w:autoSpaceDN w:val="0"/>
              <w:spacing w:line="240" w:lineRule="exact"/>
              <w:rPr>
                <w:sz w:val="20"/>
                <w:szCs w:val="20"/>
              </w:rPr>
            </w:pPr>
            <w:r w:rsidRPr="001A7FF1">
              <w:rPr>
                <w:sz w:val="20"/>
                <w:szCs w:val="20"/>
              </w:rPr>
              <w:t>Within Groups</w:t>
            </w:r>
          </w:p>
        </w:tc>
        <w:tc>
          <w:tcPr>
            <w:tcW w:w="2126"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.448</w:t>
            </w:r>
          </w:p>
        </w:tc>
        <w:tc>
          <w:tcPr>
            <w:tcW w:w="1134"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82</w:t>
            </w:r>
          </w:p>
        </w:tc>
        <w:tc>
          <w:tcPr>
            <w:tcW w:w="1559"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.005</w:t>
            </w:r>
          </w:p>
        </w:tc>
        <w:tc>
          <w:tcPr>
            <w:tcW w:w="993" w:type="dxa"/>
            <w:shd w:val="clear" w:color="auto" w:fill="FFFFFF"/>
          </w:tcPr>
          <w:p w:rsidR="0083244F" w:rsidRPr="001A7FF1" w:rsidRDefault="0083244F" w:rsidP="000F64CA">
            <w:pPr>
              <w:autoSpaceDE w:val="0"/>
              <w:autoSpaceDN w:val="0"/>
              <w:spacing w:line="240" w:lineRule="exact"/>
              <w:rPr>
                <w:sz w:val="20"/>
                <w:szCs w:val="20"/>
              </w:rPr>
            </w:pPr>
          </w:p>
        </w:tc>
        <w:tc>
          <w:tcPr>
            <w:tcW w:w="1275" w:type="dxa"/>
            <w:shd w:val="clear" w:color="auto" w:fill="FFFFFF"/>
          </w:tcPr>
          <w:p w:rsidR="0083244F" w:rsidRPr="001A7FF1" w:rsidRDefault="0083244F" w:rsidP="000F64CA">
            <w:pPr>
              <w:autoSpaceDE w:val="0"/>
              <w:autoSpaceDN w:val="0"/>
              <w:spacing w:line="240" w:lineRule="exact"/>
              <w:rPr>
                <w:sz w:val="20"/>
                <w:szCs w:val="20"/>
              </w:rPr>
            </w:pPr>
          </w:p>
        </w:tc>
      </w:tr>
      <w:tr w:rsidR="0083244F" w:rsidRPr="001A7FF1" w:rsidTr="000F64CA">
        <w:trPr>
          <w:cantSplit/>
          <w:jc w:val="center"/>
        </w:trPr>
        <w:tc>
          <w:tcPr>
            <w:tcW w:w="1985" w:type="dxa"/>
            <w:shd w:val="clear" w:color="auto" w:fill="FFFFFF"/>
            <w:vAlign w:val="center"/>
          </w:tcPr>
          <w:p w:rsidR="0083244F" w:rsidRPr="001A7FF1" w:rsidRDefault="0083244F" w:rsidP="000F64CA">
            <w:pPr>
              <w:autoSpaceDE w:val="0"/>
              <w:autoSpaceDN w:val="0"/>
              <w:spacing w:line="240" w:lineRule="exact"/>
              <w:rPr>
                <w:sz w:val="20"/>
                <w:szCs w:val="20"/>
              </w:rPr>
            </w:pPr>
            <w:r w:rsidRPr="001A7FF1">
              <w:rPr>
                <w:sz w:val="20"/>
                <w:szCs w:val="20"/>
              </w:rPr>
              <w:t>Total</w:t>
            </w:r>
          </w:p>
        </w:tc>
        <w:tc>
          <w:tcPr>
            <w:tcW w:w="2126"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.763</w:t>
            </w:r>
          </w:p>
        </w:tc>
        <w:tc>
          <w:tcPr>
            <w:tcW w:w="1134"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84</w:t>
            </w:r>
          </w:p>
        </w:tc>
        <w:tc>
          <w:tcPr>
            <w:tcW w:w="1559" w:type="dxa"/>
            <w:shd w:val="clear" w:color="auto" w:fill="FFFFFF"/>
          </w:tcPr>
          <w:p w:rsidR="0083244F" w:rsidRPr="001A7FF1" w:rsidRDefault="0083244F" w:rsidP="000F64CA">
            <w:pPr>
              <w:autoSpaceDE w:val="0"/>
              <w:autoSpaceDN w:val="0"/>
              <w:spacing w:line="240" w:lineRule="exact"/>
              <w:rPr>
                <w:sz w:val="20"/>
                <w:szCs w:val="20"/>
              </w:rPr>
            </w:pPr>
          </w:p>
        </w:tc>
        <w:tc>
          <w:tcPr>
            <w:tcW w:w="993" w:type="dxa"/>
            <w:shd w:val="clear" w:color="auto" w:fill="FFFFFF"/>
          </w:tcPr>
          <w:p w:rsidR="0083244F" w:rsidRPr="001A7FF1" w:rsidRDefault="0083244F" w:rsidP="000F64CA">
            <w:pPr>
              <w:autoSpaceDE w:val="0"/>
              <w:autoSpaceDN w:val="0"/>
              <w:spacing w:line="240" w:lineRule="exact"/>
              <w:rPr>
                <w:sz w:val="20"/>
                <w:szCs w:val="20"/>
              </w:rPr>
            </w:pPr>
          </w:p>
        </w:tc>
        <w:tc>
          <w:tcPr>
            <w:tcW w:w="1275" w:type="dxa"/>
            <w:shd w:val="clear" w:color="auto" w:fill="FFFFFF"/>
          </w:tcPr>
          <w:p w:rsidR="0083244F" w:rsidRPr="001A7FF1" w:rsidRDefault="0083244F" w:rsidP="000F64CA">
            <w:pPr>
              <w:autoSpaceDE w:val="0"/>
              <w:autoSpaceDN w:val="0"/>
              <w:spacing w:line="240" w:lineRule="exact"/>
              <w:rPr>
                <w:sz w:val="20"/>
                <w:szCs w:val="20"/>
              </w:rPr>
            </w:pPr>
          </w:p>
        </w:tc>
      </w:tr>
    </w:tbl>
    <w:p w:rsidR="000F64CA" w:rsidRDefault="000F64CA" w:rsidP="000F64CA">
      <w:pPr>
        <w:pStyle w:val="text"/>
      </w:pPr>
    </w:p>
    <w:p w:rsidR="0083244F" w:rsidRPr="001A7FF1" w:rsidRDefault="0083244F" w:rsidP="000F64CA">
      <w:pPr>
        <w:pStyle w:val="text"/>
      </w:pPr>
      <w:r w:rsidRPr="001A7FF1">
        <w:t xml:space="preserve">Table 6. </w:t>
      </w:r>
      <w:r w:rsidRPr="001A7FF1">
        <w:rPr>
          <w:lang w:val="id-ID"/>
        </w:rPr>
        <w:t xml:space="preserve">The Results of </w:t>
      </w:r>
      <w:r w:rsidRPr="001A7FF1">
        <w:t xml:space="preserve">Tukey HSD test </w:t>
      </w:r>
      <w:r w:rsidRPr="001A7FF1">
        <w:rPr>
          <w:lang w:val="id-ID"/>
        </w:rPr>
        <w:t>from</w:t>
      </w:r>
      <w:r w:rsidRPr="001A7FF1">
        <w:t xml:space="preserve"> N-Gain</w:t>
      </w:r>
    </w:p>
    <w:tbl>
      <w:tblPr>
        <w:tblW w:w="0" w:type="auto"/>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939"/>
        <w:gridCol w:w="985"/>
        <w:gridCol w:w="1458"/>
        <w:gridCol w:w="1418"/>
        <w:gridCol w:w="985"/>
        <w:gridCol w:w="1564"/>
        <w:gridCol w:w="1559"/>
      </w:tblGrid>
      <w:tr w:rsidR="0083244F" w:rsidRPr="001A7FF1" w:rsidTr="000F64CA">
        <w:trPr>
          <w:cantSplit/>
          <w:jc w:val="center"/>
        </w:trPr>
        <w:tc>
          <w:tcPr>
            <w:tcW w:w="939" w:type="dxa"/>
            <w:vMerge w:val="restart"/>
            <w:tcBorders>
              <w:top w:val="single" w:sz="4" w:space="0" w:color="auto"/>
              <w:bottom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(I) kelas</w:t>
            </w:r>
          </w:p>
        </w:tc>
        <w:tc>
          <w:tcPr>
            <w:tcW w:w="985" w:type="dxa"/>
            <w:vMerge w:val="restart"/>
            <w:tcBorders>
              <w:top w:val="single" w:sz="4" w:space="0" w:color="auto"/>
              <w:bottom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(J) kelas</w:t>
            </w:r>
          </w:p>
        </w:tc>
        <w:tc>
          <w:tcPr>
            <w:tcW w:w="1458" w:type="dxa"/>
            <w:vMerge w:val="restart"/>
            <w:tcBorders>
              <w:top w:val="single" w:sz="4" w:space="0" w:color="auto"/>
              <w:bottom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Mean Difference (I-J)</w:t>
            </w:r>
          </w:p>
        </w:tc>
        <w:tc>
          <w:tcPr>
            <w:tcW w:w="1418" w:type="dxa"/>
            <w:vMerge w:val="restart"/>
            <w:tcBorders>
              <w:top w:val="single" w:sz="4" w:space="0" w:color="auto"/>
              <w:bottom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Std. Error</w:t>
            </w:r>
          </w:p>
        </w:tc>
        <w:tc>
          <w:tcPr>
            <w:tcW w:w="985" w:type="dxa"/>
            <w:vMerge w:val="restart"/>
            <w:tcBorders>
              <w:top w:val="single" w:sz="4" w:space="0" w:color="auto"/>
              <w:bottom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Sig.</w:t>
            </w:r>
          </w:p>
        </w:tc>
        <w:tc>
          <w:tcPr>
            <w:tcW w:w="3123" w:type="dxa"/>
            <w:gridSpan w:val="2"/>
            <w:tcBorders>
              <w:top w:val="single" w:sz="4" w:space="0" w:color="auto"/>
              <w:bottom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95% Confidence Interval</w:t>
            </w:r>
          </w:p>
        </w:tc>
      </w:tr>
      <w:tr w:rsidR="0083244F" w:rsidRPr="001A7FF1" w:rsidTr="000F64CA">
        <w:trPr>
          <w:cantSplit/>
          <w:jc w:val="center"/>
        </w:trPr>
        <w:tc>
          <w:tcPr>
            <w:tcW w:w="939" w:type="dxa"/>
            <w:vMerge/>
            <w:tcBorders>
              <w:top w:val="single" w:sz="4" w:space="0" w:color="auto"/>
            </w:tcBorders>
            <w:shd w:val="clear" w:color="auto" w:fill="FFFFFF"/>
          </w:tcPr>
          <w:p w:rsidR="0083244F" w:rsidRPr="001A7FF1" w:rsidRDefault="0083244F" w:rsidP="000F64CA">
            <w:pPr>
              <w:autoSpaceDE w:val="0"/>
              <w:autoSpaceDN w:val="0"/>
              <w:spacing w:line="240" w:lineRule="exact"/>
              <w:rPr>
                <w:sz w:val="20"/>
                <w:szCs w:val="20"/>
              </w:rPr>
            </w:pPr>
          </w:p>
        </w:tc>
        <w:tc>
          <w:tcPr>
            <w:tcW w:w="985" w:type="dxa"/>
            <w:vMerge/>
            <w:tcBorders>
              <w:top w:val="single" w:sz="4" w:space="0" w:color="auto"/>
            </w:tcBorders>
            <w:shd w:val="clear" w:color="auto" w:fill="FFFFFF"/>
          </w:tcPr>
          <w:p w:rsidR="0083244F" w:rsidRPr="001A7FF1" w:rsidRDefault="0083244F" w:rsidP="000F64CA">
            <w:pPr>
              <w:autoSpaceDE w:val="0"/>
              <w:autoSpaceDN w:val="0"/>
              <w:spacing w:line="240" w:lineRule="exact"/>
              <w:rPr>
                <w:sz w:val="20"/>
                <w:szCs w:val="20"/>
              </w:rPr>
            </w:pPr>
          </w:p>
        </w:tc>
        <w:tc>
          <w:tcPr>
            <w:tcW w:w="1458" w:type="dxa"/>
            <w:vMerge/>
            <w:tcBorders>
              <w:top w:val="single" w:sz="4" w:space="0" w:color="auto"/>
            </w:tcBorders>
            <w:shd w:val="clear" w:color="auto" w:fill="FFFFFF"/>
          </w:tcPr>
          <w:p w:rsidR="0083244F" w:rsidRPr="001A7FF1" w:rsidRDefault="0083244F" w:rsidP="000F64CA">
            <w:pPr>
              <w:autoSpaceDE w:val="0"/>
              <w:autoSpaceDN w:val="0"/>
              <w:spacing w:line="240" w:lineRule="exact"/>
              <w:rPr>
                <w:sz w:val="20"/>
                <w:szCs w:val="20"/>
              </w:rPr>
            </w:pPr>
          </w:p>
        </w:tc>
        <w:tc>
          <w:tcPr>
            <w:tcW w:w="1418" w:type="dxa"/>
            <w:vMerge/>
            <w:tcBorders>
              <w:top w:val="single" w:sz="4" w:space="0" w:color="auto"/>
            </w:tcBorders>
            <w:shd w:val="clear" w:color="auto" w:fill="FFFFFF"/>
          </w:tcPr>
          <w:p w:rsidR="0083244F" w:rsidRPr="001A7FF1" w:rsidRDefault="0083244F" w:rsidP="000F64CA">
            <w:pPr>
              <w:autoSpaceDE w:val="0"/>
              <w:autoSpaceDN w:val="0"/>
              <w:spacing w:line="240" w:lineRule="exact"/>
              <w:rPr>
                <w:sz w:val="20"/>
                <w:szCs w:val="20"/>
              </w:rPr>
            </w:pPr>
          </w:p>
        </w:tc>
        <w:tc>
          <w:tcPr>
            <w:tcW w:w="985" w:type="dxa"/>
            <w:vMerge/>
            <w:tcBorders>
              <w:top w:val="single" w:sz="4" w:space="0" w:color="auto"/>
            </w:tcBorders>
            <w:shd w:val="clear" w:color="auto" w:fill="FFFFFF"/>
          </w:tcPr>
          <w:p w:rsidR="0083244F" w:rsidRPr="001A7FF1" w:rsidRDefault="0083244F" w:rsidP="000F64CA">
            <w:pPr>
              <w:autoSpaceDE w:val="0"/>
              <w:autoSpaceDN w:val="0"/>
              <w:spacing w:line="240" w:lineRule="exact"/>
              <w:rPr>
                <w:sz w:val="20"/>
                <w:szCs w:val="20"/>
              </w:rPr>
            </w:pPr>
          </w:p>
        </w:tc>
        <w:tc>
          <w:tcPr>
            <w:tcW w:w="1564" w:type="dxa"/>
            <w:tcBorders>
              <w:top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Lower Bound</w:t>
            </w:r>
          </w:p>
        </w:tc>
        <w:tc>
          <w:tcPr>
            <w:tcW w:w="1559" w:type="dxa"/>
            <w:tcBorders>
              <w:top w:val="single" w:sz="4" w:space="0" w:color="auto"/>
            </w:tcBorders>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Upper Bound</w:t>
            </w:r>
          </w:p>
        </w:tc>
      </w:tr>
      <w:tr w:rsidR="0083244F" w:rsidRPr="001A7FF1" w:rsidTr="000F64CA">
        <w:trPr>
          <w:cantSplit/>
          <w:jc w:val="center"/>
        </w:trPr>
        <w:tc>
          <w:tcPr>
            <w:tcW w:w="939" w:type="dxa"/>
            <w:vMerge w:val="restart"/>
            <w:shd w:val="clear" w:color="auto" w:fill="FFFFFF"/>
            <w:vAlign w:val="center"/>
          </w:tcPr>
          <w:p w:rsidR="0083244F" w:rsidRPr="001A7FF1" w:rsidRDefault="0083244F" w:rsidP="000F64CA">
            <w:pPr>
              <w:autoSpaceDE w:val="0"/>
              <w:autoSpaceDN w:val="0"/>
              <w:spacing w:line="240" w:lineRule="exact"/>
              <w:rPr>
                <w:sz w:val="20"/>
                <w:szCs w:val="20"/>
              </w:rPr>
            </w:pPr>
            <w:r w:rsidRPr="001A7FF1">
              <w:rPr>
                <w:sz w:val="20"/>
                <w:szCs w:val="20"/>
              </w:rPr>
              <w:t>mia1</w:t>
            </w:r>
          </w:p>
        </w:tc>
        <w:tc>
          <w:tcPr>
            <w:tcW w:w="985" w:type="dxa"/>
            <w:shd w:val="clear" w:color="auto" w:fill="FFFFFF"/>
            <w:vAlign w:val="center"/>
          </w:tcPr>
          <w:p w:rsidR="0083244F" w:rsidRPr="001A7FF1" w:rsidRDefault="0083244F" w:rsidP="000F64CA">
            <w:pPr>
              <w:autoSpaceDE w:val="0"/>
              <w:autoSpaceDN w:val="0"/>
              <w:spacing w:line="240" w:lineRule="exact"/>
              <w:rPr>
                <w:sz w:val="20"/>
                <w:szCs w:val="20"/>
              </w:rPr>
            </w:pPr>
            <w:r w:rsidRPr="001A7FF1">
              <w:rPr>
                <w:sz w:val="20"/>
                <w:szCs w:val="20"/>
              </w:rPr>
              <w:t>mia3</w:t>
            </w:r>
          </w:p>
        </w:tc>
        <w:tc>
          <w:tcPr>
            <w:tcW w:w="1458"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-.02397</w:t>
            </w:r>
          </w:p>
        </w:tc>
        <w:tc>
          <w:tcPr>
            <w:tcW w:w="1418"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.01951</w:t>
            </w:r>
          </w:p>
        </w:tc>
        <w:tc>
          <w:tcPr>
            <w:tcW w:w="985"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.440</w:t>
            </w:r>
          </w:p>
        </w:tc>
        <w:tc>
          <w:tcPr>
            <w:tcW w:w="1564"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-.0705</w:t>
            </w:r>
          </w:p>
        </w:tc>
        <w:tc>
          <w:tcPr>
            <w:tcW w:w="1559"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.0226</w:t>
            </w:r>
          </w:p>
        </w:tc>
      </w:tr>
      <w:tr w:rsidR="0083244F" w:rsidRPr="001A7FF1" w:rsidTr="000F64CA">
        <w:trPr>
          <w:cantSplit/>
          <w:jc w:val="center"/>
        </w:trPr>
        <w:tc>
          <w:tcPr>
            <w:tcW w:w="939" w:type="dxa"/>
            <w:vMerge/>
            <w:shd w:val="clear" w:color="auto" w:fill="FFFFFF"/>
            <w:vAlign w:val="center"/>
          </w:tcPr>
          <w:p w:rsidR="0083244F" w:rsidRPr="001A7FF1" w:rsidRDefault="0083244F" w:rsidP="000F64CA">
            <w:pPr>
              <w:autoSpaceDE w:val="0"/>
              <w:autoSpaceDN w:val="0"/>
              <w:spacing w:line="240" w:lineRule="exact"/>
              <w:rPr>
                <w:sz w:val="20"/>
                <w:szCs w:val="20"/>
              </w:rPr>
            </w:pPr>
          </w:p>
        </w:tc>
        <w:tc>
          <w:tcPr>
            <w:tcW w:w="985" w:type="dxa"/>
            <w:shd w:val="clear" w:color="auto" w:fill="FFFFFF"/>
            <w:vAlign w:val="center"/>
          </w:tcPr>
          <w:p w:rsidR="0083244F" w:rsidRPr="001A7FF1" w:rsidRDefault="0083244F" w:rsidP="000F64CA">
            <w:pPr>
              <w:autoSpaceDE w:val="0"/>
              <w:autoSpaceDN w:val="0"/>
              <w:spacing w:line="240" w:lineRule="exact"/>
              <w:rPr>
                <w:sz w:val="20"/>
                <w:szCs w:val="20"/>
              </w:rPr>
            </w:pPr>
            <w:r w:rsidRPr="001A7FF1">
              <w:rPr>
                <w:sz w:val="20"/>
                <w:szCs w:val="20"/>
              </w:rPr>
              <w:t>mia4</w:t>
            </w:r>
          </w:p>
        </w:tc>
        <w:tc>
          <w:tcPr>
            <w:tcW w:w="1458"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.11848</w:t>
            </w:r>
            <w:r w:rsidRPr="001A7FF1">
              <w:rPr>
                <w:sz w:val="20"/>
                <w:szCs w:val="20"/>
                <w:vertAlign w:val="superscript"/>
              </w:rPr>
              <w:t>*</w:t>
            </w:r>
          </w:p>
        </w:tc>
        <w:tc>
          <w:tcPr>
            <w:tcW w:w="1418"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.01931</w:t>
            </w:r>
          </w:p>
        </w:tc>
        <w:tc>
          <w:tcPr>
            <w:tcW w:w="985"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.000</w:t>
            </w:r>
          </w:p>
        </w:tc>
        <w:tc>
          <w:tcPr>
            <w:tcW w:w="1564"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.0724</w:t>
            </w:r>
          </w:p>
        </w:tc>
        <w:tc>
          <w:tcPr>
            <w:tcW w:w="1559"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.1646</w:t>
            </w:r>
          </w:p>
        </w:tc>
      </w:tr>
      <w:tr w:rsidR="0083244F" w:rsidRPr="001A7FF1" w:rsidTr="000F64CA">
        <w:trPr>
          <w:cantSplit/>
          <w:jc w:val="center"/>
        </w:trPr>
        <w:tc>
          <w:tcPr>
            <w:tcW w:w="939" w:type="dxa"/>
            <w:vMerge w:val="restart"/>
            <w:shd w:val="clear" w:color="auto" w:fill="FFFFFF"/>
            <w:vAlign w:val="center"/>
          </w:tcPr>
          <w:p w:rsidR="0083244F" w:rsidRPr="001A7FF1" w:rsidRDefault="0083244F" w:rsidP="000F64CA">
            <w:pPr>
              <w:autoSpaceDE w:val="0"/>
              <w:autoSpaceDN w:val="0"/>
              <w:spacing w:line="240" w:lineRule="exact"/>
              <w:rPr>
                <w:sz w:val="20"/>
                <w:szCs w:val="20"/>
              </w:rPr>
            </w:pPr>
            <w:r w:rsidRPr="001A7FF1">
              <w:rPr>
                <w:sz w:val="20"/>
                <w:szCs w:val="20"/>
              </w:rPr>
              <w:t>mia3</w:t>
            </w:r>
          </w:p>
        </w:tc>
        <w:tc>
          <w:tcPr>
            <w:tcW w:w="985" w:type="dxa"/>
            <w:shd w:val="clear" w:color="auto" w:fill="FFFFFF"/>
            <w:vAlign w:val="center"/>
          </w:tcPr>
          <w:p w:rsidR="0083244F" w:rsidRPr="001A7FF1" w:rsidRDefault="0083244F" w:rsidP="000F64CA">
            <w:pPr>
              <w:autoSpaceDE w:val="0"/>
              <w:autoSpaceDN w:val="0"/>
              <w:spacing w:line="240" w:lineRule="exact"/>
              <w:rPr>
                <w:sz w:val="20"/>
                <w:szCs w:val="20"/>
              </w:rPr>
            </w:pPr>
            <w:r w:rsidRPr="001A7FF1">
              <w:rPr>
                <w:sz w:val="20"/>
                <w:szCs w:val="20"/>
              </w:rPr>
              <w:t>mia1</w:t>
            </w:r>
          </w:p>
        </w:tc>
        <w:tc>
          <w:tcPr>
            <w:tcW w:w="1458"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.02397</w:t>
            </w:r>
          </w:p>
        </w:tc>
        <w:tc>
          <w:tcPr>
            <w:tcW w:w="1418"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.01951</w:t>
            </w:r>
          </w:p>
        </w:tc>
        <w:tc>
          <w:tcPr>
            <w:tcW w:w="985"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.440</w:t>
            </w:r>
          </w:p>
        </w:tc>
        <w:tc>
          <w:tcPr>
            <w:tcW w:w="1564"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-.0226</w:t>
            </w:r>
          </w:p>
        </w:tc>
        <w:tc>
          <w:tcPr>
            <w:tcW w:w="1559"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.0705</w:t>
            </w:r>
          </w:p>
        </w:tc>
      </w:tr>
      <w:tr w:rsidR="0083244F" w:rsidRPr="001A7FF1" w:rsidTr="000F64CA">
        <w:trPr>
          <w:cantSplit/>
          <w:jc w:val="center"/>
        </w:trPr>
        <w:tc>
          <w:tcPr>
            <w:tcW w:w="939" w:type="dxa"/>
            <w:vMerge/>
            <w:shd w:val="clear" w:color="auto" w:fill="FFFFFF"/>
            <w:vAlign w:val="center"/>
          </w:tcPr>
          <w:p w:rsidR="0083244F" w:rsidRPr="001A7FF1" w:rsidRDefault="0083244F" w:rsidP="000F64CA">
            <w:pPr>
              <w:autoSpaceDE w:val="0"/>
              <w:autoSpaceDN w:val="0"/>
              <w:spacing w:line="240" w:lineRule="exact"/>
              <w:rPr>
                <w:sz w:val="20"/>
                <w:szCs w:val="20"/>
              </w:rPr>
            </w:pPr>
          </w:p>
        </w:tc>
        <w:tc>
          <w:tcPr>
            <w:tcW w:w="985" w:type="dxa"/>
            <w:shd w:val="clear" w:color="auto" w:fill="FFFFFF"/>
            <w:vAlign w:val="center"/>
          </w:tcPr>
          <w:p w:rsidR="0083244F" w:rsidRPr="001A7FF1" w:rsidRDefault="0083244F" w:rsidP="000F64CA">
            <w:pPr>
              <w:autoSpaceDE w:val="0"/>
              <w:autoSpaceDN w:val="0"/>
              <w:spacing w:line="240" w:lineRule="exact"/>
              <w:rPr>
                <w:sz w:val="20"/>
                <w:szCs w:val="20"/>
              </w:rPr>
            </w:pPr>
            <w:r w:rsidRPr="001A7FF1">
              <w:rPr>
                <w:sz w:val="20"/>
                <w:szCs w:val="20"/>
              </w:rPr>
              <w:t>mia4</w:t>
            </w:r>
          </w:p>
        </w:tc>
        <w:tc>
          <w:tcPr>
            <w:tcW w:w="1458"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.14245</w:t>
            </w:r>
            <w:r w:rsidRPr="001A7FF1">
              <w:rPr>
                <w:sz w:val="20"/>
                <w:szCs w:val="20"/>
                <w:vertAlign w:val="superscript"/>
              </w:rPr>
              <w:t>*</w:t>
            </w:r>
          </w:p>
        </w:tc>
        <w:tc>
          <w:tcPr>
            <w:tcW w:w="1418"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.02030</w:t>
            </w:r>
          </w:p>
        </w:tc>
        <w:tc>
          <w:tcPr>
            <w:tcW w:w="985"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.000</w:t>
            </w:r>
          </w:p>
        </w:tc>
        <w:tc>
          <w:tcPr>
            <w:tcW w:w="1564"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.0940</w:t>
            </w:r>
          </w:p>
        </w:tc>
        <w:tc>
          <w:tcPr>
            <w:tcW w:w="1559"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.1909</w:t>
            </w:r>
          </w:p>
        </w:tc>
      </w:tr>
      <w:tr w:rsidR="0083244F" w:rsidRPr="001A7FF1" w:rsidTr="000F64CA">
        <w:trPr>
          <w:cantSplit/>
          <w:jc w:val="center"/>
        </w:trPr>
        <w:tc>
          <w:tcPr>
            <w:tcW w:w="939" w:type="dxa"/>
            <w:vMerge w:val="restart"/>
            <w:shd w:val="clear" w:color="auto" w:fill="FFFFFF"/>
            <w:vAlign w:val="center"/>
          </w:tcPr>
          <w:p w:rsidR="0083244F" w:rsidRPr="001A7FF1" w:rsidRDefault="0083244F" w:rsidP="000F64CA">
            <w:pPr>
              <w:autoSpaceDE w:val="0"/>
              <w:autoSpaceDN w:val="0"/>
              <w:spacing w:line="240" w:lineRule="exact"/>
              <w:rPr>
                <w:sz w:val="20"/>
                <w:szCs w:val="20"/>
              </w:rPr>
            </w:pPr>
            <w:r w:rsidRPr="001A7FF1">
              <w:rPr>
                <w:sz w:val="20"/>
                <w:szCs w:val="20"/>
              </w:rPr>
              <w:t>mia4</w:t>
            </w:r>
          </w:p>
        </w:tc>
        <w:tc>
          <w:tcPr>
            <w:tcW w:w="985" w:type="dxa"/>
            <w:shd w:val="clear" w:color="auto" w:fill="FFFFFF"/>
            <w:vAlign w:val="center"/>
          </w:tcPr>
          <w:p w:rsidR="0083244F" w:rsidRPr="001A7FF1" w:rsidRDefault="0083244F" w:rsidP="000F64CA">
            <w:pPr>
              <w:autoSpaceDE w:val="0"/>
              <w:autoSpaceDN w:val="0"/>
              <w:spacing w:line="240" w:lineRule="exact"/>
              <w:rPr>
                <w:sz w:val="20"/>
                <w:szCs w:val="20"/>
              </w:rPr>
            </w:pPr>
            <w:r w:rsidRPr="001A7FF1">
              <w:rPr>
                <w:sz w:val="20"/>
                <w:szCs w:val="20"/>
              </w:rPr>
              <w:t>mia1</w:t>
            </w:r>
          </w:p>
        </w:tc>
        <w:tc>
          <w:tcPr>
            <w:tcW w:w="1458"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-.11848</w:t>
            </w:r>
            <w:r w:rsidRPr="001A7FF1">
              <w:rPr>
                <w:sz w:val="20"/>
                <w:szCs w:val="20"/>
                <w:vertAlign w:val="superscript"/>
              </w:rPr>
              <w:t>*</w:t>
            </w:r>
          </w:p>
        </w:tc>
        <w:tc>
          <w:tcPr>
            <w:tcW w:w="1418"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.01931</w:t>
            </w:r>
          </w:p>
        </w:tc>
        <w:tc>
          <w:tcPr>
            <w:tcW w:w="985"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.000</w:t>
            </w:r>
          </w:p>
        </w:tc>
        <w:tc>
          <w:tcPr>
            <w:tcW w:w="1564"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-.1646</w:t>
            </w:r>
          </w:p>
        </w:tc>
        <w:tc>
          <w:tcPr>
            <w:tcW w:w="1559"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-.0724</w:t>
            </w:r>
          </w:p>
        </w:tc>
      </w:tr>
      <w:tr w:rsidR="0083244F" w:rsidRPr="001A7FF1" w:rsidTr="000F64CA">
        <w:trPr>
          <w:cantSplit/>
          <w:jc w:val="center"/>
        </w:trPr>
        <w:tc>
          <w:tcPr>
            <w:tcW w:w="939" w:type="dxa"/>
            <w:vMerge/>
            <w:shd w:val="clear" w:color="auto" w:fill="FFFFFF"/>
            <w:vAlign w:val="center"/>
          </w:tcPr>
          <w:p w:rsidR="0083244F" w:rsidRPr="001A7FF1" w:rsidRDefault="0083244F" w:rsidP="000F64CA">
            <w:pPr>
              <w:autoSpaceDE w:val="0"/>
              <w:autoSpaceDN w:val="0"/>
              <w:spacing w:line="240" w:lineRule="exact"/>
              <w:rPr>
                <w:sz w:val="20"/>
                <w:szCs w:val="20"/>
              </w:rPr>
            </w:pPr>
          </w:p>
        </w:tc>
        <w:tc>
          <w:tcPr>
            <w:tcW w:w="985" w:type="dxa"/>
            <w:shd w:val="clear" w:color="auto" w:fill="FFFFFF"/>
            <w:vAlign w:val="center"/>
          </w:tcPr>
          <w:p w:rsidR="0083244F" w:rsidRPr="001A7FF1" w:rsidRDefault="0083244F" w:rsidP="000F64CA">
            <w:pPr>
              <w:autoSpaceDE w:val="0"/>
              <w:autoSpaceDN w:val="0"/>
              <w:spacing w:line="240" w:lineRule="exact"/>
              <w:rPr>
                <w:sz w:val="20"/>
                <w:szCs w:val="20"/>
              </w:rPr>
            </w:pPr>
            <w:r w:rsidRPr="001A7FF1">
              <w:rPr>
                <w:sz w:val="20"/>
                <w:szCs w:val="20"/>
              </w:rPr>
              <w:t>mia3</w:t>
            </w:r>
          </w:p>
        </w:tc>
        <w:tc>
          <w:tcPr>
            <w:tcW w:w="1458"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-.14245</w:t>
            </w:r>
            <w:r w:rsidRPr="001A7FF1">
              <w:rPr>
                <w:sz w:val="20"/>
                <w:szCs w:val="20"/>
                <w:vertAlign w:val="superscript"/>
              </w:rPr>
              <w:t>*</w:t>
            </w:r>
          </w:p>
        </w:tc>
        <w:tc>
          <w:tcPr>
            <w:tcW w:w="1418"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.02030</w:t>
            </w:r>
          </w:p>
        </w:tc>
        <w:tc>
          <w:tcPr>
            <w:tcW w:w="985"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.000</w:t>
            </w:r>
          </w:p>
        </w:tc>
        <w:tc>
          <w:tcPr>
            <w:tcW w:w="1564"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-.1909</w:t>
            </w:r>
          </w:p>
        </w:tc>
        <w:tc>
          <w:tcPr>
            <w:tcW w:w="1559" w:type="dxa"/>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-.0940</w:t>
            </w:r>
          </w:p>
        </w:tc>
      </w:tr>
      <w:tr w:rsidR="0083244F" w:rsidRPr="001A7FF1" w:rsidTr="000F64CA">
        <w:trPr>
          <w:cantSplit/>
          <w:jc w:val="center"/>
        </w:trPr>
        <w:tc>
          <w:tcPr>
            <w:tcW w:w="8908" w:type="dxa"/>
            <w:gridSpan w:val="7"/>
            <w:shd w:val="clear" w:color="auto" w:fill="FFFFFF"/>
          </w:tcPr>
          <w:p w:rsidR="0083244F" w:rsidRPr="001A7FF1" w:rsidRDefault="0083244F" w:rsidP="000F64CA">
            <w:pPr>
              <w:autoSpaceDE w:val="0"/>
              <w:autoSpaceDN w:val="0"/>
              <w:spacing w:line="240" w:lineRule="exact"/>
              <w:rPr>
                <w:sz w:val="20"/>
                <w:szCs w:val="20"/>
              </w:rPr>
            </w:pPr>
            <w:r w:rsidRPr="001A7FF1">
              <w:rPr>
                <w:sz w:val="20"/>
                <w:szCs w:val="20"/>
              </w:rPr>
              <w:t>*. The mean difference is significant at the 0.05 level.</w:t>
            </w:r>
          </w:p>
        </w:tc>
      </w:tr>
    </w:tbl>
    <w:p w:rsidR="000F64CA" w:rsidRDefault="000F64CA" w:rsidP="000F64CA">
      <w:pPr>
        <w:pStyle w:val="text"/>
      </w:pPr>
    </w:p>
    <w:p w:rsidR="0083244F" w:rsidRPr="000F64CA" w:rsidRDefault="0083244F" w:rsidP="000F64CA">
      <w:pPr>
        <w:pStyle w:val="text"/>
        <w:rPr>
          <w:b/>
        </w:rPr>
      </w:pPr>
      <w:r w:rsidRPr="000F64CA">
        <w:rPr>
          <w:b/>
        </w:rPr>
        <w:t>4. Discussion</w:t>
      </w:r>
    </w:p>
    <w:p w:rsidR="0083244F" w:rsidRPr="001A7FF1" w:rsidRDefault="0083244F" w:rsidP="000F64CA">
      <w:pPr>
        <w:pStyle w:val="text"/>
      </w:pPr>
      <w:r w:rsidRPr="001A7FF1">
        <w:t>Ongoing assessment</w:t>
      </w:r>
      <w:r w:rsidRPr="001A7FF1">
        <w:rPr>
          <w:lang w:val="id-ID"/>
        </w:rPr>
        <w:t xml:space="preserve"> helps the teachers and students in detecting the location of students’ mistakes and helps the teacher to provide feedback to students’ answers. Teachers’ feedback can be in the form of support towards students who answer the questions correctly and in the form of directions for students whose answers are still wrong. The directions are given in the form of information needed by students according to students’ errors in answering. The feedback in learning which uses ongoing assessment is very important because feedback will make the learning more active (Abdurrahman et al., 2018</w:t>
      </w:r>
      <w:r w:rsidRPr="001A7FF1">
        <w:t>; Salihu et al., 2017</w:t>
      </w:r>
      <w:r w:rsidRPr="001A7FF1">
        <w:rPr>
          <w:lang w:val="id-ID"/>
        </w:rPr>
        <w:t>). The existence of feedback also shows that the teachers act as facilitators for the students in understanding concepts and improving their critical thinking skills</w:t>
      </w:r>
      <w:r w:rsidRPr="001A7FF1">
        <w:t xml:space="preserve"> (Salihu et al., 2017)</w:t>
      </w:r>
      <w:r w:rsidRPr="001A7FF1">
        <w:rPr>
          <w:lang w:val="id-ID"/>
        </w:rPr>
        <w:t>. This is in accordance with the results of the observation of the aspects of the reaction principle included in the very high category.</w:t>
      </w:r>
    </w:p>
    <w:p w:rsidR="0083244F" w:rsidRPr="001A7FF1" w:rsidRDefault="0083244F" w:rsidP="000F64CA">
      <w:pPr>
        <w:pStyle w:val="text"/>
      </w:pPr>
      <w:r w:rsidRPr="001A7FF1">
        <w:rPr>
          <w:lang w:val="id-ID"/>
        </w:rPr>
        <w:t>The learning which uses ongoing assessment receives responses from the students in those three classes with high category. Students’ responses consist of several aspects, namely, student perceptions of learning activities, student interest in learning, students' perceptions of ongoing assessment in improving critical thinking skills, and student responses to teacher attitudes in learning.</w:t>
      </w:r>
    </w:p>
    <w:p w:rsidR="0083244F" w:rsidRPr="001A7FF1" w:rsidRDefault="0083244F" w:rsidP="000F64CA">
      <w:pPr>
        <w:pStyle w:val="text"/>
        <w:rPr>
          <w:lang w:val="en-ID"/>
        </w:rPr>
      </w:pPr>
      <w:r w:rsidRPr="001A7FF1">
        <w:rPr>
          <w:lang w:val="id-ID"/>
        </w:rPr>
        <w:t>The learning which uses ongoing assessment gives freedom to students in asking questions or expressing opinions to both the teacher and their friends. This giving of freedom will ease the students in understanding the materials. In addition, this will improve critical thinking skills and conceptual abilities because students will know that a problem can be solved using different ways</w:t>
      </w:r>
      <w:r w:rsidRPr="001A7FF1">
        <w:rPr>
          <w:lang w:val="en-ID"/>
        </w:rPr>
        <w:t xml:space="preserve"> (Romli et al., 2018).</w:t>
      </w:r>
    </w:p>
    <w:p w:rsidR="0083244F" w:rsidRPr="001A7FF1" w:rsidRDefault="0083244F" w:rsidP="000F64CA">
      <w:pPr>
        <w:pStyle w:val="text"/>
      </w:pPr>
      <w:r w:rsidRPr="001A7FF1">
        <w:rPr>
          <w:lang w:val="id-ID"/>
        </w:rPr>
        <w:t>The use of ongoing assessment will make the students focus on understanding one sub-material. This is because in the learning which uses ongoing assessment, questions are given directly after the students learn about these sub-material. If the students answer incorrectly, they can immediately find out the location of the mistake and correct it according to the feedback from the teacher. Feedback motivates students to solve problems (Espasa &amp; Meneses, 2010</w:t>
      </w:r>
      <w:r w:rsidRPr="001A7FF1">
        <w:t>; Krause et al., 2009</w:t>
      </w:r>
      <w:r w:rsidRPr="001A7FF1">
        <w:rPr>
          <w:lang w:val="id-ID"/>
        </w:rPr>
        <w:t>), increases students' ability to assess themselves (Pokorny &amp; Pickfort, 2010), and guides students in finding several solutions (Abdurrahman et al</w:t>
      </w:r>
      <w:r w:rsidRPr="001A7FF1">
        <w:t>.</w:t>
      </w:r>
      <w:r w:rsidRPr="001A7FF1">
        <w:rPr>
          <w:lang w:val="id-ID"/>
        </w:rPr>
        <w:t>, 2018</w:t>
      </w:r>
      <w:r w:rsidRPr="001A7FF1">
        <w:t>; Karakiozis &amp; Papakitsos, 2018</w:t>
      </w:r>
      <w:r w:rsidRPr="001A7FF1">
        <w:rPr>
          <w:lang w:val="id-ID"/>
        </w:rPr>
        <w:t>).</w:t>
      </w:r>
    </w:p>
    <w:p w:rsidR="0083244F" w:rsidRPr="001A7FF1" w:rsidRDefault="0083244F" w:rsidP="000F64CA">
      <w:pPr>
        <w:pStyle w:val="text"/>
      </w:pPr>
      <w:r w:rsidRPr="001A7FF1">
        <w:rPr>
          <w:lang w:val="id-ID"/>
        </w:rPr>
        <w:t>This kind of learning activities which are sustainable at each competency indicator learning will foster students’ experience. Critical thinking can be enhanced by continuous training that provides meaningful experiences</w:t>
      </w:r>
      <w:r w:rsidRPr="001A7FF1">
        <w:rPr>
          <w:lang w:val="en-ID"/>
        </w:rPr>
        <w:t>, including scaffolding process in learning activities</w:t>
      </w:r>
      <w:r w:rsidRPr="001A7FF1">
        <w:rPr>
          <w:lang w:val="id-ID"/>
        </w:rPr>
        <w:t xml:space="preserve"> (</w:t>
      </w:r>
      <w:r w:rsidRPr="001A7FF1">
        <w:rPr>
          <w:lang w:val="en-ID"/>
        </w:rPr>
        <w:t>Nurulsari et al., 2017</w:t>
      </w:r>
      <w:r w:rsidRPr="001A7FF1">
        <w:rPr>
          <w:lang w:val="id-ID"/>
        </w:rPr>
        <w:t>).</w:t>
      </w:r>
    </w:p>
    <w:p w:rsidR="0083244F" w:rsidRPr="001A7FF1" w:rsidRDefault="0083244F" w:rsidP="000F64CA">
      <w:pPr>
        <w:pStyle w:val="text"/>
      </w:pPr>
      <w:r w:rsidRPr="001A7FF1">
        <w:rPr>
          <w:lang w:val="id-ID"/>
        </w:rPr>
        <w:t xml:space="preserve">Based on the results of </w:t>
      </w:r>
      <w:r w:rsidRPr="001A7FF1">
        <w:rPr>
          <w:noProof/>
          <w:lang w:val="id-ID"/>
        </w:rPr>
        <w:t>the n</w:t>
      </w:r>
      <w:r w:rsidRPr="001A7FF1">
        <w:rPr>
          <w:lang w:val="id-ID"/>
        </w:rPr>
        <w:t xml:space="preserve">-gain statistical analysis in Table </w:t>
      </w:r>
      <w:r w:rsidRPr="001A7FF1">
        <w:t>5</w:t>
      </w:r>
      <w:r w:rsidRPr="001A7FF1">
        <w:rPr>
          <w:lang w:val="id-ID"/>
        </w:rPr>
        <w:t xml:space="preserve"> regarding the improvement of critical thinking skills and conceptual knowledge of students from three classes, the significance value is less than 0.05. This means that critical thinking skills of students from three classes have different improvements.</w:t>
      </w:r>
      <w:r w:rsidRPr="001A7FF1">
        <w:t xml:space="preserve"> Tbe</w:t>
      </w:r>
      <w:r w:rsidRPr="001A7FF1">
        <w:rPr>
          <w:lang w:val="id-ID"/>
        </w:rPr>
        <w:t xml:space="preserve">, the mean of n-gain values for each class are presented, where the MIA 3 class has the highest mean of n-gain value and the MIA 4 </w:t>
      </w:r>
      <w:r w:rsidRPr="001A7FF1">
        <w:rPr>
          <w:lang w:val="id-ID"/>
        </w:rPr>
        <w:lastRenderedPageBreak/>
        <w:t>class has the lowest mean of n-gain value.</w:t>
      </w:r>
      <w:r w:rsidRPr="001A7FF1">
        <w:t xml:space="preserve"> </w:t>
      </w:r>
      <w:r w:rsidRPr="001A7FF1">
        <w:rPr>
          <w:lang w:val="id-ID"/>
        </w:rPr>
        <w:t>One of the differences in the ability improvement is influenced by the initial abilities of different students</w:t>
      </w:r>
      <w:r w:rsidRPr="001A7FF1">
        <w:t xml:space="preserve">. </w:t>
      </w:r>
      <w:r w:rsidRPr="001A7FF1">
        <w:rPr>
          <w:lang w:val="id-ID"/>
        </w:rPr>
        <w:t xml:space="preserve">Table </w:t>
      </w:r>
      <w:r w:rsidRPr="001A7FF1">
        <w:t>6</w:t>
      </w:r>
      <w:r w:rsidRPr="001A7FF1">
        <w:rPr>
          <w:lang w:val="id-ID"/>
        </w:rPr>
        <w:t xml:space="preserve"> shows that the class MIA 4 has differences from the others. This is due to different initial abilities (Figure 1). Initial ability is very important to drive constructive activities for students (</w:t>
      </w:r>
      <w:r w:rsidRPr="001A7FF1">
        <w:rPr>
          <w:shd w:val="clear" w:color="auto" w:fill="FFFFFF"/>
        </w:rPr>
        <w:t>Van Blankenstein et al., 2013</w:t>
      </w:r>
      <w:r w:rsidRPr="001A7FF1">
        <w:rPr>
          <w:lang w:val="id-ID"/>
        </w:rPr>
        <w:t>). Low initial ability will make students more difficult to develop (Schunk, 2005).</w:t>
      </w:r>
      <w:r w:rsidRPr="001A7FF1">
        <w:t xml:space="preserve"> Therefore the initial ability Mia 4 the lowest grade, the increase in critical thinking skills will be slower than any other class.</w:t>
      </w:r>
    </w:p>
    <w:p w:rsidR="0083244F" w:rsidRPr="000F64CA" w:rsidRDefault="0083244F" w:rsidP="000F64CA">
      <w:pPr>
        <w:pStyle w:val="text"/>
        <w:rPr>
          <w:b/>
        </w:rPr>
      </w:pPr>
      <w:r w:rsidRPr="000F64CA">
        <w:rPr>
          <w:b/>
        </w:rPr>
        <w:t>References</w:t>
      </w:r>
    </w:p>
    <w:p w:rsidR="00A000F1" w:rsidRPr="001A7FF1" w:rsidRDefault="00A000F1" w:rsidP="00A000F1">
      <w:pPr>
        <w:pStyle w:val="references"/>
      </w:pPr>
      <w:r w:rsidRPr="001A7FF1">
        <w:t>Abdurrahman, S</w:t>
      </w:r>
      <w:r>
        <w:t xml:space="preserve">. </w:t>
      </w:r>
      <w:r w:rsidRPr="001A7FF1">
        <w:t xml:space="preserve">A., &amp; Umam, R. (2018). The Effect Of Feedback As Soft Scaffolding On Ongoing Assessment Toward The Quantum Physics Concept Mastery Of The Prospective Physics Teachers. </w:t>
      </w:r>
      <w:r w:rsidRPr="001A7FF1">
        <w:rPr>
          <w:i/>
        </w:rPr>
        <w:t>Jurnal Pendidikan IPA Indonesia</w:t>
      </w:r>
      <w:r w:rsidRPr="009E232C">
        <w:rPr>
          <w:i/>
        </w:rPr>
        <w:t>, 7</w:t>
      </w:r>
      <w:r w:rsidRPr="001A7FF1">
        <w:t>(1)</w:t>
      </w:r>
      <w:r>
        <w:t>,</w:t>
      </w:r>
      <w:r w:rsidRPr="001A7FF1">
        <w:t xml:space="preserve"> 16-22.</w:t>
      </w:r>
    </w:p>
    <w:p w:rsidR="00A000F1" w:rsidRPr="001A7FF1" w:rsidRDefault="00A000F1" w:rsidP="00A000F1">
      <w:pPr>
        <w:pStyle w:val="references"/>
      </w:pPr>
      <w:r w:rsidRPr="001A7FF1">
        <w:t xml:space="preserve">Abosalem, Y. (2016). Assessment Techniques and Students’ Higher-Order Thinking Skills. </w:t>
      </w:r>
      <w:r w:rsidRPr="001A7FF1">
        <w:rPr>
          <w:i/>
        </w:rPr>
        <w:t>International Journal of Secondary Education</w:t>
      </w:r>
      <w:r w:rsidRPr="009E232C">
        <w:rPr>
          <w:i/>
        </w:rPr>
        <w:t>, 4</w:t>
      </w:r>
      <w:r w:rsidRPr="001A7FF1">
        <w:t>(1)</w:t>
      </w:r>
      <w:r>
        <w:t>,</w:t>
      </w:r>
      <w:r w:rsidRPr="001A7FF1">
        <w:t xml:space="preserve"> 1-11.</w:t>
      </w:r>
    </w:p>
    <w:p w:rsidR="00A000F1" w:rsidRPr="001A7FF1" w:rsidRDefault="00A000F1" w:rsidP="00A000F1">
      <w:pPr>
        <w:pStyle w:val="references"/>
      </w:pPr>
      <w:r w:rsidRPr="001A7FF1">
        <w:t xml:space="preserve">Barnett, J. E., &amp; Francis, A. L. (2012). Using higher order thinking questions to foster critical thinking: A classroom study. </w:t>
      </w:r>
      <w:r w:rsidRPr="001A7FF1">
        <w:rPr>
          <w:i/>
          <w:iCs/>
        </w:rPr>
        <w:t>Educational Psychology</w:t>
      </w:r>
      <w:r w:rsidRPr="009E232C">
        <w:rPr>
          <w:i/>
        </w:rPr>
        <w:t xml:space="preserve">, </w:t>
      </w:r>
      <w:r w:rsidRPr="009E232C">
        <w:rPr>
          <w:i/>
          <w:iCs/>
        </w:rPr>
        <w:t>32</w:t>
      </w:r>
      <w:r w:rsidRPr="001A7FF1">
        <w:t>(2)</w:t>
      </w:r>
      <w:r>
        <w:t>,</w:t>
      </w:r>
      <w:r w:rsidRPr="001A7FF1">
        <w:t xml:space="preserve"> 201-211.</w:t>
      </w:r>
    </w:p>
    <w:p w:rsidR="00A000F1" w:rsidRPr="001A7FF1" w:rsidRDefault="00A000F1" w:rsidP="00A000F1">
      <w:pPr>
        <w:pStyle w:val="references"/>
      </w:pPr>
      <w:r w:rsidRPr="001A7FF1">
        <w:t xml:space="preserve">Chin, C. (2006). Classroom interaction in science: teacher questioning and feedback to students’ responses. </w:t>
      </w:r>
      <w:r w:rsidRPr="001A7FF1">
        <w:rPr>
          <w:i/>
          <w:iCs/>
        </w:rPr>
        <w:t>Internationa Journal of Science Education</w:t>
      </w:r>
      <w:r w:rsidRPr="009E232C">
        <w:rPr>
          <w:i/>
        </w:rPr>
        <w:t>, 28</w:t>
      </w:r>
      <w:r w:rsidRPr="001A7FF1">
        <w:t>(11)</w:t>
      </w:r>
      <w:r>
        <w:t>,</w:t>
      </w:r>
      <w:r w:rsidRPr="001A7FF1">
        <w:t xml:space="preserve"> 1315-1346.</w:t>
      </w:r>
    </w:p>
    <w:p w:rsidR="00A000F1" w:rsidRPr="001A7FF1" w:rsidRDefault="00A000F1" w:rsidP="00A000F1">
      <w:pPr>
        <w:pStyle w:val="references"/>
      </w:pPr>
      <w:r w:rsidRPr="001A7FF1">
        <w:t>Creswell, J.</w:t>
      </w:r>
      <w:r>
        <w:t xml:space="preserve"> </w:t>
      </w:r>
      <w:r w:rsidRPr="001A7FF1">
        <w:t xml:space="preserve">W. (2012). </w:t>
      </w:r>
      <w:r w:rsidRPr="001A7FF1">
        <w:rPr>
          <w:i/>
        </w:rPr>
        <w:t>Educational Research: Planning, Conducting, and Evaluating quantitative and qualitative research.</w:t>
      </w:r>
      <w:r w:rsidRPr="001A7FF1">
        <w:t xml:space="preserve"> Boston: Pearson Education</w:t>
      </w:r>
      <w:r w:rsidRPr="001A7FF1">
        <w:rPr>
          <w:lang w:val="id-ID"/>
        </w:rPr>
        <w:t>.</w:t>
      </w:r>
    </w:p>
    <w:p w:rsidR="00A000F1" w:rsidRPr="001A7FF1" w:rsidRDefault="00A000F1" w:rsidP="00A000F1">
      <w:pPr>
        <w:pStyle w:val="references"/>
      </w:pPr>
      <w:r w:rsidRPr="001A7FF1">
        <w:rPr>
          <w:shd w:val="clear" w:color="auto" w:fill="FFFFFF"/>
        </w:rPr>
        <w:t xml:space="preserve">Dellos, R. (2015). Kahoot! A digital game resource for learning. </w:t>
      </w:r>
      <w:r w:rsidRPr="001A7FF1">
        <w:rPr>
          <w:i/>
          <w:iCs/>
          <w:shd w:val="clear" w:color="auto" w:fill="FFFFFF"/>
        </w:rPr>
        <w:t>International Journal of Instructional Technology and Distance Learning</w:t>
      </w:r>
      <w:r w:rsidRPr="009E232C">
        <w:rPr>
          <w:i/>
          <w:shd w:val="clear" w:color="auto" w:fill="FFFFFF"/>
        </w:rPr>
        <w:t xml:space="preserve">, </w:t>
      </w:r>
      <w:r w:rsidRPr="009E232C">
        <w:rPr>
          <w:i/>
          <w:iCs/>
          <w:shd w:val="clear" w:color="auto" w:fill="FFFFFF"/>
        </w:rPr>
        <w:t>12</w:t>
      </w:r>
      <w:r w:rsidRPr="001A7FF1">
        <w:rPr>
          <w:shd w:val="clear" w:color="auto" w:fill="FFFFFF"/>
        </w:rPr>
        <w:t>(4), 49-52.</w:t>
      </w:r>
    </w:p>
    <w:p w:rsidR="00A000F1" w:rsidRPr="001A7FF1" w:rsidRDefault="00A000F1" w:rsidP="00A000F1">
      <w:pPr>
        <w:pStyle w:val="references"/>
      </w:pPr>
      <w:r w:rsidRPr="001A7FF1">
        <w:rPr>
          <w:lang w:val="id-ID"/>
        </w:rPr>
        <w:t>Espasa, A.</w:t>
      </w:r>
      <w:r>
        <w:rPr>
          <w:lang w:val="id-ID"/>
        </w:rPr>
        <w:t>,</w:t>
      </w:r>
      <w:r w:rsidRPr="001A7FF1">
        <w:rPr>
          <w:lang w:val="id-ID"/>
        </w:rPr>
        <w:t xml:space="preserve"> &amp; Meneses, J. </w:t>
      </w:r>
      <w:r w:rsidRPr="001A7FF1">
        <w:rPr>
          <w:lang w:val="en-ID"/>
        </w:rPr>
        <w:t>(</w:t>
      </w:r>
      <w:r w:rsidRPr="001A7FF1">
        <w:t>201</w:t>
      </w:r>
      <w:r w:rsidRPr="001A7FF1">
        <w:rPr>
          <w:lang w:val="id-ID"/>
        </w:rPr>
        <w:t>0</w:t>
      </w:r>
      <w:r w:rsidRPr="001A7FF1">
        <w:rPr>
          <w:lang w:val="en-ID"/>
        </w:rPr>
        <w:t>)</w:t>
      </w:r>
      <w:r w:rsidRPr="001A7FF1">
        <w:rPr>
          <w:lang w:val="id-ID"/>
        </w:rPr>
        <w:t xml:space="preserve">. Analysing feedback processes in an online teaching and learning environment: an exploratory study. </w:t>
      </w:r>
      <w:r w:rsidRPr="001A7FF1">
        <w:rPr>
          <w:i/>
          <w:lang w:val="id-ID"/>
        </w:rPr>
        <w:t>Higher</w:t>
      </w:r>
      <w:r w:rsidRPr="001A7FF1">
        <w:rPr>
          <w:i/>
        </w:rPr>
        <w:t xml:space="preserve"> </w:t>
      </w:r>
      <w:r w:rsidRPr="001A7FF1">
        <w:rPr>
          <w:i/>
          <w:lang w:val="id-ID"/>
        </w:rPr>
        <w:t>Education</w:t>
      </w:r>
      <w:r>
        <w:rPr>
          <w:lang w:val="id-ID"/>
        </w:rPr>
        <w:t xml:space="preserve">, </w:t>
      </w:r>
      <w:r w:rsidRPr="001A7FF1">
        <w:rPr>
          <w:lang w:val="id-ID"/>
        </w:rPr>
        <w:t>59(3)</w:t>
      </w:r>
      <w:r>
        <w:rPr>
          <w:lang w:val="id-ID"/>
        </w:rPr>
        <w:t>,</w:t>
      </w:r>
      <w:r w:rsidRPr="001A7FF1">
        <w:rPr>
          <w:lang w:val="id-ID"/>
        </w:rPr>
        <w:t xml:space="preserve"> </w:t>
      </w:r>
      <w:r w:rsidRPr="001A7FF1">
        <w:t>2</w:t>
      </w:r>
      <w:r w:rsidRPr="001A7FF1">
        <w:rPr>
          <w:lang w:val="id-ID"/>
        </w:rPr>
        <w:t>77-</w:t>
      </w:r>
      <w:r w:rsidRPr="001A7FF1">
        <w:t>2</w:t>
      </w:r>
      <w:r w:rsidRPr="001A7FF1">
        <w:rPr>
          <w:lang w:val="id-ID"/>
        </w:rPr>
        <w:t>9</w:t>
      </w:r>
      <w:r w:rsidRPr="001A7FF1">
        <w:t>2</w:t>
      </w:r>
      <w:r w:rsidRPr="001A7FF1">
        <w:rPr>
          <w:lang w:val="id-ID"/>
        </w:rPr>
        <w:t>.</w:t>
      </w:r>
    </w:p>
    <w:p w:rsidR="00A000F1" w:rsidRPr="001A7FF1" w:rsidRDefault="00A000F1" w:rsidP="00A000F1">
      <w:pPr>
        <w:pStyle w:val="references"/>
      </w:pPr>
      <w:r w:rsidRPr="001A7FF1">
        <w:rPr>
          <w:rFonts w:eastAsia="Arial Unicode MS"/>
        </w:rPr>
        <w:t xml:space="preserve">Geveke, C., Steenbeek, H., Doornenbal, J., &amp; van Geert, P. (2016). Improving Pupils’ Conceptual Understanding by a Connected In-school and Out-of-school Science Program: </w:t>
      </w:r>
      <w:r w:rsidRPr="001A7FF1">
        <w:rPr>
          <w:rFonts w:eastAsia="Arial Unicode MS"/>
          <w:i/>
        </w:rPr>
        <w:t>A Multiple Case Study. American Journal of Educational Research</w:t>
      </w:r>
      <w:r w:rsidRPr="009E232C">
        <w:rPr>
          <w:rFonts w:eastAsia="Arial Unicode MS"/>
          <w:i/>
        </w:rPr>
        <w:t>, 4</w:t>
      </w:r>
      <w:r w:rsidRPr="001A7FF1">
        <w:rPr>
          <w:rFonts w:eastAsia="Arial Unicode MS"/>
        </w:rPr>
        <w:t>(1)</w:t>
      </w:r>
      <w:r>
        <w:rPr>
          <w:rFonts w:eastAsia="Arial Unicode MS"/>
        </w:rPr>
        <w:t>,</w:t>
      </w:r>
      <w:r w:rsidRPr="001A7FF1">
        <w:rPr>
          <w:rFonts w:eastAsia="Arial Unicode MS"/>
        </w:rPr>
        <w:t xml:space="preserve"> 115-125.</w:t>
      </w:r>
    </w:p>
    <w:p w:rsidR="00A000F1" w:rsidRPr="001A7FF1" w:rsidRDefault="00A000F1" w:rsidP="00A000F1">
      <w:pPr>
        <w:pStyle w:val="references"/>
      </w:pPr>
      <w:r w:rsidRPr="001A7FF1">
        <w:t xml:space="preserve">Hake, R. R. (1998). Interactive-engagement versus traditional methods: A six-thousand-student survey of mechanics test data for introductory physics courses. </w:t>
      </w:r>
      <w:r w:rsidRPr="001A7FF1">
        <w:rPr>
          <w:i/>
        </w:rPr>
        <w:t>American Journal of Physics</w:t>
      </w:r>
      <w:r w:rsidRPr="001A7FF1">
        <w:t>. 66 (1): 64-74.</w:t>
      </w:r>
    </w:p>
    <w:p w:rsidR="00A000F1" w:rsidRPr="001A7FF1" w:rsidRDefault="00A000F1" w:rsidP="00A000F1">
      <w:pPr>
        <w:pStyle w:val="references"/>
      </w:pPr>
      <w:r w:rsidRPr="001A7FF1">
        <w:rPr>
          <w:shd w:val="clear" w:color="auto" w:fill="FFFFFF"/>
        </w:rPr>
        <w:t xml:space="preserve">Heitink, M. C., Van der Kleij, F. M., Veldkamp, B. P., Schildkamp, K., &amp; Kippers, W. B. (2016). A systematic review of prerequisites for implementing assessment for learning in classroom practice. </w:t>
      </w:r>
      <w:r w:rsidRPr="001A7FF1">
        <w:rPr>
          <w:i/>
          <w:iCs/>
          <w:shd w:val="clear" w:color="auto" w:fill="FFFFFF"/>
        </w:rPr>
        <w:t xml:space="preserve">Educational </w:t>
      </w:r>
      <w:r w:rsidRPr="001A7FF1">
        <w:rPr>
          <w:i/>
          <w:iCs/>
          <w:shd w:val="clear" w:color="auto" w:fill="FFFFFF"/>
        </w:rPr>
        <w:t>Research R</w:t>
      </w:r>
      <w:r w:rsidRPr="001A7FF1">
        <w:rPr>
          <w:i/>
          <w:iCs/>
          <w:shd w:val="clear" w:color="auto" w:fill="FFFFFF"/>
        </w:rPr>
        <w:t>eview</w:t>
      </w:r>
      <w:r w:rsidRPr="009E232C">
        <w:rPr>
          <w:i/>
          <w:shd w:val="clear" w:color="auto" w:fill="FFFFFF"/>
        </w:rPr>
        <w:t xml:space="preserve">, </w:t>
      </w:r>
      <w:r w:rsidRPr="009E232C">
        <w:rPr>
          <w:i/>
          <w:iCs/>
          <w:shd w:val="clear" w:color="auto" w:fill="FFFFFF"/>
        </w:rPr>
        <w:t>17</w:t>
      </w:r>
      <w:r>
        <w:rPr>
          <w:shd w:val="clear" w:color="auto" w:fill="FFFFFF"/>
        </w:rPr>
        <w:t>,</w:t>
      </w:r>
      <w:r w:rsidRPr="001A7FF1">
        <w:rPr>
          <w:shd w:val="clear" w:color="auto" w:fill="FFFFFF"/>
        </w:rPr>
        <w:t xml:space="preserve"> 50-62.</w:t>
      </w:r>
    </w:p>
    <w:p w:rsidR="00A000F1" w:rsidRPr="001A7FF1" w:rsidRDefault="00A000F1" w:rsidP="00A000F1">
      <w:pPr>
        <w:pStyle w:val="references"/>
      </w:pPr>
      <w:r w:rsidRPr="001A7FF1">
        <w:t>Karakiozis, K. &amp; Papakitsos, E.C. (2018). Attitudes of Teachers Who Implement School Mediation Programmes:</w:t>
      </w:r>
      <w:r>
        <w:t xml:space="preserve"> </w:t>
      </w:r>
      <w:r w:rsidRPr="001A7FF1">
        <w:t xml:space="preserve">A Case Study. </w:t>
      </w:r>
      <w:r w:rsidRPr="001A7FF1">
        <w:rPr>
          <w:i/>
        </w:rPr>
        <w:t>International Educational Research</w:t>
      </w:r>
      <w:r w:rsidRPr="001A7FF1">
        <w:t>; 1( 2): 16-25.</w:t>
      </w:r>
    </w:p>
    <w:p w:rsidR="00A000F1" w:rsidRPr="001A7FF1" w:rsidRDefault="00A000F1" w:rsidP="00A000F1">
      <w:pPr>
        <w:pStyle w:val="references"/>
        <w:rPr>
          <w:shd w:val="clear" w:color="auto" w:fill="FFFFFF"/>
        </w:rPr>
      </w:pPr>
      <w:r w:rsidRPr="001A7FF1">
        <w:rPr>
          <w:shd w:val="clear" w:color="auto" w:fill="FFFFFF"/>
        </w:rPr>
        <w:t xml:space="preserve">Kearney, S. (2013). Improving engagement: the use of ‘Authentic self-and peer-assessment for learning’ to enhance the student learning experience. </w:t>
      </w:r>
      <w:r w:rsidRPr="001A7FF1">
        <w:rPr>
          <w:i/>
          <w:iCs/>
          <w:shd w:val="clear" w:color="auto" w:fill="FFFFFF"/>
        </w:rPr>
        <w:t>Assessment &amp; Evaluation in Higher Education</w:t>
      </w:r>
      <w:r w:rsidRPr="009E232C">
        <w:rPr>
          <w:i/>
          <w:shd w:val="clear" w:color="auto" w:fill="FFFFFF"/>
        </w:rPr>
        <w:t xml:space="preserve">, </w:t>
      </w:r>
      <w:r w:rsidRPr="009E232C">
        <w:rPr>
          <w:i/>
          <w:iCs/>
          <w:shd w:val="clear" w:color="auto" w:fill="FFFFFF"/>
        </w:rPr>
        <w:t>38</w:t>
      </w:r>
      <w:r w:rsidRPr="001A7FF1">
        <w:rPr>
          <w:shd w:val="clear" w:color="auto" w:fill="FFFFFF"/>
        </w:rPr>
        <w:t>(7), 875-891.</w:t>
      </w:r>
    </w:p>
    <w:p w:rsidR="00A000F1" w:rsidRPr="001A7FF1" w:rsidRDefault="00A000F1" w:rsidP="00A000F1">
      <w:pPr>
        <w:pStyle w:val="references"/>
        <w:rPr>
          <w:shd w:val="clear" w:color="auto" w:fill="FFFFFF"/>
        </w:rPr>
      </w:pPr>
      <w:r w:rsidRPr="001A7FF1">
        <w:rPr>
          <w:shd w:val="clear" w:color="auto" w:fill="FFFFFF"/>
        </w:rPr>
        <w:t xml:space="preserve">Kiryak, Z., &amp; Çalik, M. (2018). Improving grade 7 students’ conceptual understanding of water pollution via common knowledge construction model. </w:t>
      </w:r>
      <w:r w:rsidRPr="001A7FF1">
        <w:rPr>
          <w:i/>
          <w:iCs/>
          <w:shd w:val="clear" w:color="auto" w:fill="FFFFFF"/>
        </w:rPr>
        <w:t>International Journal of Science and Mathematics Education</w:t>
      </w:r>
      <w:r w:rsidRPr="001A7FF1">
        <w:rPr>
          <w:shd w:val="clear" w:color="auto" w:fill="FFFFFF"/>
        </w:rPr>
        <w:t xml:space="preserve">, </w:t>
      </w:r>
      <w:r w:rsidRPr="001A7FF1">
        <w:rPr>
          <w:i/>
          <w:iCs/>
          <w:shd w:val="clear" w:color="auto" w:fill="FFFFFF"/>
        </w:rPr>
        <w:t>16</w:t>
      </w:r>
      <w:r w:rsidRPr="001A7FF1">
        <w:rPr>
          <w:shd w:val="clear" w:color="auto" w:fill="FFFFFF"/>
        </w:rPr>
        <w:t>(6), 1025-1046.</w:t>
      </w:r>
    </w:p>
    <w:p w:rsidR="00A000F1" w:rsidRPr="001A7FF1" w:rsidRDefault="00A000F1" w:rsidP="00A000F1">
      <w:pPr>
        <w:pStyle w:val="references"/>
        <w:rPr>
          <w:shd w:val="clear" w:color="auto" w:fill="FFFFFF"/>
        </w:rPr>
      </w:pPr>
      <w:r w:rsidRPr="001A7FF1">
        <w:rPr>
          <w:shd w:val="clear" w:color="auto" w:fill="FFFFFF"/>
        </w:rPr>
        <w:t xml:space="preserve">Krause, U. M., Stark, R., &amp; Mandl, H. (2009). The effects of cooperative learning and feedback on e-learning in statistics. </w:t>
      </w:r>
      <w:r w:rsidRPr="001A7FF1">
        <w:rPr>
          <w:i/>
          <w:iCs/>
          <w:shd w:val="clear" w:color="auto" w:fill="FFFFFF"/>
        </w:rPr>
        <w:t>Learning and instruction</w:t>
      </w:r>
      <w:r w:rsidRPr="009E232C">
        <w:rPr>
          <w:i/>
          <w:shd w:val="clear" w:color="auto" w:fill="FFFFFF"/>
        </w:rPr>
        <w:t xml:space="preserve">, </w:t>
      </w:r>
      <w:r w:rsidRPr="009E232C">
        <w:rPr>
          <w:i/>
          <w:iCs/>
          <w:shd w:val="clear" w:color="auto" w:fill="FFFFFF"/>
        </w:rPr>
        <w:t>19</w:t>
      </w:r>
      <w:r w:rsidRPr="001A7FF1">
        <w:rPr>
          <w:shd w:val="clear" w:color="auto" w:fill="FFFFFF"/>
        </w:rPr>
        <w:t>(2), 158-170.</w:t>
      </w:r>
    </w:p>
    <w:p w:rsidR="00A000F1" w:rsidRPr="001A7FF1" w:rsidRDefault="00A000F1" w:rsidP="00A000F1">
      <w:pPr>
        <w:pStyle w:val="references"/>
        <w:rPr>
          <w:shd w:val="clear" w:color="auto" w:fill="FFFFFF"/>
        </w:rPr>
      </w:pPr>
      <w:r w:rsidRPr="001A7FF1">
        <w:rPr>
          <w:shd w:val="clear" w:color="auto" w:fill="FFFFFF"/>
        </w:rPr>
        <w:t xml:space="preserve">Leirhaug, P. E., &amp; MacPhail, A. (2015). ‘It's the other assessment that is the key’: three Norwegian physical education teachers' engagement (or not) with assessment for learning. </w:t>
      </w:r>
      <w:r w:rsidRPr="009E232C">
        <w:rPr>
          <w:rStyle w:val="text0"/>
          <w:rFonts w:eastAsia="宋体"/>
          <w:i/>
        </w:rPr>
        <w:t>Sport</w:t>
      </w:r>
      <w:r w:rsidRPr="009E232C">
        <w:rPr>
          <w:rStyle w:val="text0"/>
          <w:rFonts w:eastAsia="宋体"/>
          <w:i/>
        </w:rPr>
        <w:t>, Educa</w:t>
      </w:r>
      <w:r w:rsidRPr="009E232C">
        <w:rPr>
          <w:rStyle w:val="text0"/>
          <w:rFonts w:eastAsia="宋体"/>
          <w:i/>
        </w:rPr>
        <w:t xml:space="preserve">tion and </w:t>
      </w:r>
      <w:r w:rsidRPr="009E232C">
        <w:rPr>
          <w:rStyle w:val="text0"/>
          <w:rFonts w:eastAsia="宋体"/>
          <w:i/>
        </w:rPr>
        <w:t>So</w:t>
      </w:r>
      <w:r w:rsidRPr="009E232C">
        <w:rPr>
          <w:rStyle w:val="text0"/>
          <w:rFonts w:eastAsia="宋体"/>
          <w:i/>
        </w:rPr>
        <w:t>ciety, 20</w:t>
      </w:r>
      <w:r w:rsidRPr="009E232C">
        <w:rPr>
          <w:rStyle w:val="text0"/>
          <w:rFonts w:eastAsia="宋体"/>
        </w:rPr>
        <w:t>(5)</w:t>
      </w:r>
      <w:r w:rsidRPr="009E232C">
        <w:rPr>
          <w:rStyle w:val="text0"/>
          <w:rFonts w:eastAsia="宋体"/>
        </w:rPr>
        <w:t>,</w:t>
      </w:r>
      <w:r w:rsidRPr="009E232C">
        <w:rPr>
          <w:rStyle w:val="text0"/>
          <w:rFonts w:eastAsia="宋体"/>
        </w:rPr>
        <w:t xml:space="preserve"> 624-640.</w:t>
      </w:r>
    </w:p>
    <w:p w:rsidR="00A000F1" w:rsidRPr="001A7FF1" w:rsidRDefault="00A000F1" w:rsidP="00A000F1">
      <w:pPr>
        <w:pStyle w:val="references"/>
      </w:pPr>
      <w:r w:rsidRPr="001A7FF1">
        <w:rPr>
          <w:shd w:val="clear" w:color="auto" w:fill="FFFFFF"/>
        </w:rPr>
        <w:t xml:space="preserve">Loes, C. N., Salisbury, M. H., &amp; Pascarella, E. T. (2015). Student perceptions of effective instruction and the development of critical thinking: A replication and extension. </w:t>
      </w:r>
      <w:r w:rsidRPr="001A7FF1">
        <w:rPr>
          <w:i/>
          <w:iCs/>
          <w:shd w:val="clear" w:color="auto" w:fill="FFFFFF"/>
        </w:rPr>
        <w:t>Higher Education</w:t>
      </w:r>
      <w:r w:rsidRPr="001A7FF1">
        <w:rPr>
          <w:shd w:val="clear" w:color="auto" w:fill="FFFFFF"/>
        </w:rPr>
        <w:t xml:space="preserve">, </w:t>
      </w:r>
      <w:r w:rsidRPr="001A7FF1">
        <w:rPr>
          <w:iCs/>
          <w:shd w:val="clear" w:color="auto" w:fill="FFFFFF"/>
        </w:rPr>
        <w:t>69</w:t>
      </w:r>
      <w:r w:rsidRPr="001A7FF1">
        <w:rPr>
          <w:shd w:val="clear" w:color="auto" w:fill="FFFFFF"/>
        </w:rPr>
        <w:t>(5)</w:t>
      </w:r>
      <w:r>
        <w:rPr>
          <w:shd w:val="clear" w:color="auto" w:fill="FFFFFF"/>
        </w:rPr>
        <w:t>,</w:t>
      </w:r>
      <w:r w:rsidRPr="001A7FF1">
        <w:rPr>
          <w:shd w:val="clear" w:color="auto" w:fill="FFFFFF"/>
        </w:rPr>
        <w:t xml:space="preserve"> 823-838.</w:t>
      </w:r>
    </w:p>
    <w:p w:rsidR="00A000F1" w:rsidRPr="001A7FF1" w:rsidRDefault="00A000F1" w:rsidP="00A000F1">
      <w:pPr>
        <w:pStyle w:val="references"/>
        <w:rPr>
          <w:rFonts w:eastAsia="Times"/>
          <w:lang w:val="en-ID" w:eastAsia="id-ID"/>
        </w:rPr>
      </w:pPr>
      <w:r w:rsidRPr="001A7FF1">
        <w:t>Nurulsari</w:t>
      </w:r>
      <w:r>
        <w:t>,</w:t>
      </w:r>
      <w:r w:rsidRPr="001A7FF1">
        <w:t xml:space="preserve"> N</w:t>
      </w:r>
      <w:r>
        <w:t>.</w:t>
      </w:r>
      <w:r w:rsidRPr="001A7FF1">
        <w:t>, Abdurrahman</w:t>
      </w:r>
      <w:r>
        <w:t>,</w:t>
      </w:r>
      <w:r w:rsidRPr="001A7FF1">
        <w:t xml:space="preserve"> A</w:t>
      </w:r>
      <w:r>
        <w:t>.</w:t>
      </w:r>
      <w:r w:rsidRPr="001A7FF1">
        <w:t xml:space="preserve">, &amp; Suyatna, A. (2017). Development of soft scaffolding strategy to improve student’s creative thinking ability in physics. </w:t>
      </w:r>
      <w:r w:rsidRPr="001A7FF1">
        <w:rPr>
          <w:i/>
        </w:rPr>
        <w:t>Journal of Physics: Conference Series</w:t>
      </w:r>
      <w:r w:rsidRPr="0082287C">
        <w:rPr>
          <w:i/>
        </w:rPr>
        <w:t>,</w:t>
      </w:r>
      <w:r w:rsidRPr="0082287C">
        <w:rPr>
          <w:i/>
        </w:rPr>
        <w:t xml:space="preserve"> 909</w:t>
      </w:r>
      <w:r>
        <w:t>(</w:t>
      </w:r>
      <w:r w:rsidRPr="001A7FF1">
        <w:t>1</w:t>
      </w:r>
      <w:r>
        <w:t>),</w:t>
      </w:r>
      <w:r w:rsidRPr="001A7FF1">
        <w:t xml:space="preserve"> 1-8</w:t>
      </w:r>
      <w:r>
        <w:t>.</w:t>
      </w:r>
    </w:p>
    <w:p w:rsidR="00A000F1" w:rsidRPr="001A7FF1" w:rsidRDefault="00A000F1" w:rsidP="00A000F1">
      <w:pPr>
        <w:pStyle w:val="references"/>
      </w:pPr>
      <w:r w:rsidRPr="001A7FF1">
        <w:rPr>
          <w:rFonts w:eastAsia="Times"/>
          <w:lang w:val="id-ID" w:eastAsia="id-ID"/>
        </w:rPr>
        <w:t>Pokorny, H.</w:t>
      </w:r>
      <w:r>
        <w:rPr>
          <w:rFonts w:eastAsia="Times"/>
          <w:lang w:val="id-ID" w:eastAsia="id-ID"/>
        </w:rPr>
        <w:t>,</w:t>
      </w:r>
      <w:r w:rsidRPr="001A7FF1">
        <w:rPr>
          <w:rFonts w:eastAsia="Times"/>
          <w:lang w:val="id-ID" w:eastAsia="id-ID"/>
        </w:rPr>
        <w:t xml:space="preserve"> &amp; Pickford, P. </w:t>
      </w:r>
      <w:r w:rsidRPr="001A7FF1">
        <w:rPr>
          <w:rFonts w:eastAsia="Times"/>
          <w:lang w:val="en-ID" w:eastAsia="id-ID"/>
        </w:rPr>
        <w:t>(</w:t>
      </w:r>
      <w:r w:rsidRPr="001A7FF1">
        <w:t>201</w:t>
      </w:r>
      <w:r w:rsidRPr="001A7FF1">
        <w:rPr>
          <w:lang w:val="id-ID"/>
        </w:rPr>
        <w:t>0</w:t>
      </w:r>
      <w:r w:rsidRPr="001A7FF1">
        <w:rPr>
          <w:lang w:val="en-ID"/>
        </w:rPr>
        <w:t>)</w:t>
      </w:r>
      <w:r w:rsidRPr="001A7FF1">
        <w:rPr>
          <w:lang w:val="id-ID"/>
        </w:rPr>
        <w:t xml:space="preserve">. Complexity, cues, and relationships: Student perceptions of feedback. </w:t>
      </w:r>
      <w:r w:rsidRPr="001A7FF1">
        <w:rPr>
          <w:i/>
          <w:lang w:val="id-ID"/>
        </w:rPr>
        <w:t>Active Learning in Higher Education</w:t>
      </w:r>
      <w:r w:rsidRPr="003D78CA">
        <w:rPr>
          <w:i/>
          <w:lang w:val="id-ID"/>
        </w:rPr>
        <w:t>,</w:t>
      </w:r>
      <w:r w:rsidRPr="003D78CA">
        <w:rPr>
          <w:i/>
          <w:lang w:val="id-ID"/>
        </w:rPr>
        <w:t xml:space="preserve"> 11</w:t>
      </w:r>
      <w:r w:rsidRPr="001A7FF1">
        <w:rPr>
          <w:lang w:val="id-ID"/>
        </w:rPr>
        <w:t>(1)</w:t>
      </w:r>
      <w:r>
        <w:rPr>
          <w:lang w:val="id-ID"/>
        </w:rPr>
        <w:t>,</w:t>
      </w:r>
      <w:r w:rsidRPr="001A7FF1">
        <w:rPr>
          <w:lang w:val="id-ID"/>
        </w:rPr>
        <w:t xml:space="preserve"> </w:t>
      </w:r>
      <w:r w:rsidRPr="001A7FF1">
        <w:t>21</w:t>
      </w:r>
      <w:r w:rsidRPr="001A7FF1">
        <w:rPr>
          <w:lang w:val="id-ID"/>
        </w:rPr>
        <w:t>-30.</w:t>
      </w:r>
    </w:p>
    <w:p w:rsidR="00A000F1" w:rsidRPr="001A7FF1" w:rsidRDefault="00A000F1" w:rsidP="00A000F1">
      <w:pPr>
        <w:pStyle w:val="references"/>
        <w:rPr>
          <w:rFonts w:eastAsia="Times"/>
          <w:lang w:eastAsia="id-ID"/>
        </w:rPr>
      </w:pPr>
      <w:r w:rsidRPr="001A7FF1">
        <w:rPr>
          <w:rFonts w:eastAsia="Times"/>
          <w:lang w:eastAsia="id-ID"/>
        </w:rPr>
        <w:t xml:space="preserve">Pradana, F. A., &amp; Suyatna, A. (2017). The Needs of Interactive Electronic School Books to Enhance the Critical Thinking Skills of the Students. </w:t>
      </w:r>
      <w:r w:rsidRPr="001A7FF1">
        <w:rPr>
          <w:rFonts w:eastAsia="Times"/>
          <w:i/>
          <w:lang w:eastAsia="id-ID"/>
        </w:rPr>
        <w:t xml:space="preserve">Advances in Social Science, Education and Humanities Research </w:t>
      </w:r>
      <w:r w:rsidRPr="001A7FF1">
        <w:rPr>
          <w:rFonts w:eastAsia="Times"/>
          <w:i/>
          <w:lang w:eastAsia="id-ID"/>
        </w:rPr>
        <w:lastRenderedPageBreak/>
        <w:t>(ASSEHR)</w:t>
      </w:r>
      <w:r>
        <w:rPr>
          <w:rFonts w:eastAsia="Times"/>
          <w:lang w:eastAsia="id-ID"/>
        </w:rPr>
        <w:t>,</w:t>
      </w:r>
      <w:r w:rsidRPr="001A7FF1">
        <w:rPr>
          <w:rFonts w:eastAsia="Times"/>
          <w:lang w:eastAsia="id-ID"/>
        </w:rPr>
        <w:t xml:space="preserve"> (158)</w:t>
      </w:r>
      <w:r>
        <w:rPr>
          <w:rFonts w:eastAsia="Times"/>
          <w:lang w:eastAsia="id-ID"/>
        </w:rPr>
        <w:t>,</w:t>
      </w:r>
      <w:r w:rsidRPr="001A7FF1">
        <w:rPr>
          <w:rFonts w:eastAsia="Times"/>
          <w:b/>
          <w:lang w:eastAsia="id-ID"/>
        </w:rPr>
        <w:t xml:space="preserve"> </w:t>
      </w:r>
      <w:r w:rsidRPr="001A7FF1">
        <w:rPr>
          <w:rFonts w:eastAsia="Times"/>
          <w:lang w:eastAsia="id-ID"/>
        </w:rPr>
        <w:t>263-271.</w:t>
      </w:r>
    </w:p>
    <w:p w:rsidR="00A000F1" w:rsidRPr="001A7FF1" w:rsidRDefault="00A000F1" w:rsidP="00A000F1">
      <w:pPr>
        <w:pStyle w:val="references"/>
      </w:pPr>
      <w:r w:rsidRPr="001A7FF1">
        <w:rPr>
          <w:shd w:val="clear" w:color="auto" w:fill="FFFFFF"/>
        </w:rPr>
        <w:t>Romli, S.</w:t>
      </w:r>
      <w:r>
        <w:rPr>
          <w:shd w:val="clear" w:color="auto" w:fill="FFFFFF"/>
        </w:rPr>
        <w:t xml:space="preserve"> </w:t>
      </w:r>
      <w:r w:rsidRPr="001A7FF1">
        <w:rPr>
          <w:shd w:val="clear" w:color="auto" w:fill="FFFFFF"/>
        </w:rPr>
        <w:t>A</w:t>
      </w:r>
      <w:r>
        <w:rPr>
          <w:shd w:val="clear" w:color="auto" w:fill="FFFFFF"/>
        </w:rPr>
        <w:t>.,</w:t>
      </w:r>
      <w:r w:rsidRPr="001A7FF1">
        <w:rPr>
          <w:shd w:val="clear" w:color="auto" w:fill="FFFFFF"/>
        </w:rPr>
        <w:t xml:space="preserve"> &amp; Riyadi, B. (2018). Designing students' worksheet based on open-ended approach to foster students' creative thinking skills. </w:t>
      </w:r>
      <w:r w:rsidRPr="001A7FF1">
        <w:rPr>
          <w:i/>
          <w:iCs/>
          <w:shd w:val="clear" w:color="auto" w:fill="FFFFFF"/>
        </w:rPr>
        <w:t>Journal of Physics</w:t>
      </w:r>
      <w:r w:rsidRPr="001A7FF1">
        <w:rPr>
          <w:iCs/>
          <w:shd w:val="clear" w:color="auto" w:fill="FFFFFF"/>
        </w:rPr>
        <w:t>:</w:t>
      </w:r>
      <w:r w:rsidRPr="001A7FF1">
        <w:rPr>
          <w:i/>
          <w:iCs/>
          <w:shd w:val="clear" w:color="auto" w:fill="FFFFFF"/>
        </w:rPr>
        <w:t xml:space="preserve"> Conference Series</w:t>
      </w:r>
      <w:r>
        <w:rPr>
          <w:iCs/>
          <w:shd w:val="clear" w:color="auto" w:fill="FFFFFF"/>
        </w:rPr>
        <w:t xml:space="preserve">, </w:t>
      </w:r>
      <w:r w:rsidRPr="001A7FF1">
        <w:rPr>
          <w:shd w:val="clear" w:color="auto" w:fill="FFFFFF"/>
        </w:rPr>
        <w:t>948-1.</w:t>
      </w:r>
    </w:p>
    <w:p w:rsidR="00A000F1" w:rsidRPr="001A7FF1" w:rsidRDefault="00A000F1" w:rsidP="00A000F1">
      <w:pPr>
        <w:pStyle w:val="references"/>
      </w:pPr>
      <w:r w:rsidRPr="001A7FF1">
        <w:rPr>
          <w:shd w:val="clear" w:color="auto" w:fill="FFFFFF"/>
        </w:rPr>
        <w:t xml:space="preserve">Salihu, L., Aro, M., &amp; Räsänen, P. (2017). Dynamic potential of feedback in self-regulated learning and motivation of children with mathematical learning difficulties. </w:t>
      </w:r>
      <w:r w:rsidRPr="001A7FF1">
        <w:rPr>
          <w:i/>
          <w:iCs/>
          <w:shd w:val="clear" w:color="auto" w:fill="FFFFFF"/>
        </w:rPr>
        <w:t>Hrvatska revija za rehabilitacijska istraživanja</w:t>
      </w:r>
      <w:r w:rsidRPr="001A7FF1">
        <w:rPr>
          <w:shd w:val="clear" w:color="auto" w:fill="FFFFFF"/>
        </w:rPr>
        <w:t xml:space="preserve">, </w:t>
      </w:r>
      <w:r w:rsidRPr="001A7FF1">
        <w:rPr>
          <w:i/>
          <w:iCs/>
          <w:shd w:val="clear" w:color="auto" w:fill="FFFFFF"/>
        </w:rPr>
        <w:t>53</w:t>
      </w:r>
      <w:r w:rsidRPr="001A7FF1">
        <w:rPr>
          <w:shd w:val="clear" w:color="auto" w:fill="FFFFFF"/>
        </w:rPr>
        <w:t>(2), 111-129.</w:t>
      </w:r>
    </w:p>
    <w:p w:rsidR="00A000F1" w:rsidRPr="001A7FF1" w:rsidRDefault="00A000F1" w:rsidP="00A000F1">
      <w:pPr>
        <w:pStyle w:val="references"/>
      </w:pPr>
      <w:r w:rsidRPr="001A7FF1">
        <w:t xml:space="preserve">Schunk, D. H. (2005). Self-Regulated Learning: The Educational Legacy of Paul R Pintrich. </w:t>
      </w:r>
      <w:r w:rsidRPr="001A7FF1">
        <w:rPr>
          <w:i/>
        </w:rPr>
        <w:t>Educational Psycologist</w:t>
      </w:r>
      <w:r w:rsidRPr="003D78CA">
        <w:rPr>
          <w:i/>
        </w:rPr>
        <w:t>,</w:t>
      </w:r>
      <w:r w:rsidRPr="003D78CA">
        <w:rPr>
          <w:i/>
        </w:rPr>
        <w:t xml:space="preserve"> 40</w:t>
      </w:r>
      <w:r w:rsidRPr="001A7FF1">
        <w:t>(2)</w:t>
      </w:r>
      <w:r>
        <w:t>,</w:t>
      </w:r>
      <w:r w:rsidRPr="001A7FF1">
        <w:t xml:space="preserve"> 85-94.</w:t>
      </w:r>
    </w:p>
    <w:p w:rsidR="00A000F1" w:rsidRPr="001A7FF1" w:rsidRDefault="00A000F1" w:rsidP="00A000F1">
      <w:pPr>
        <w:pStyle w:val="references"/>
      </w:pPr>
      <w:r w:rsidRPr="001A7FF1">
        <w:t xml:space="preserve">Stiggnis, R. J. (1994). </w:t>
      </w:r>
      <w:r w:rsidRPr="001A7FF1">
        <w:rPr>
          <w:i/>
        </w:rPr>
        <w:t>Student-Centered Classroom Assessment</w:t>
      </w:r>
      <w:r w:rsidRPr="001A7FF1">
        <w:t>. New York. Macmillan College Publishing Company.</w:t>
      </w:r>
    </w:p>
    <w:p w:rsidR="00A000F1" w:rsidRPr="001A7FF1" w:rsidRDefault="00A000F1" w:rsidP="00A000F1">
      <w:pPr>
        <w:pStyle w:val="references"/>
      </w:pPr>
      <w:r w:rsidRPr="001A7FF1">
        <w:t xml:space="preserve">Thomas, G., Martin, D., &amp; Pleasants, K. (2011). Using self and peer-assessment to enhance students’ future learning in higher education. </w:t>
      </w:r>
      <w:r w:rsidRPr="001A7FF1">
        <w:rPr>
          <w:i/>
          <w:iCs/>
        </w:rPr>
        <w:t>Journal of University Teaching &amp; Learning Practice</w:t>
      </w:r>
      <w:r w:rsidRPr="001A7FF1">
        <w:t xml:space="preserve">, </w:t>
      </w:r>
      <w:r w:rsidRPr="001A7FF1">
        <w:rPr>
          <w:i/>
          <w:iCs/>
        </w:rPr>
        <w:t>8</w:t>
      </w:r>
      <w:r w:rsidRPr="001A7FF1">
        <w:t>(1), 5.</w:t>
      </w:r>
    </w:p>
    <w:p w:rsidR="00A000F1" w:rsidRPr="001A7FF1" w:rsidRDefault="00A000F1" w:rsidP="00A000F1">
      <w:pPr>
        <w:pStyle w:val="references"/>
      </w:pPr>
      <w:r w:rsidRPr="001A7FF1">
        <w:rPr>
          <w:shd w:val="clear" w:color="auto" w:fill="FFFFFF"/>
        </w:rPr>
        <w:t xml:space="preserve">Van Blankenstein, F. M., Dolmans, D. H., Van der Vleuten, C. P., &amp; Schmidt, H. G. (2013). Relevant prior knowledge moderates the effect of elaboration during small group discussion on academic achievement. </w:t>
      </w:r>
      <w:r w:rsidRPr="001A7FF1">
        <w:rPr>
          <w:i/>
          <w:iCs/>
          <w:shd w:val="clear" w:color="auto" w:fill="FFFFFF"/>
        </w:rPr>
        <w:t>Instructional Science</w:t>
      </w:r>
      <w:r w:rsidRPr="001A7FF1">
        <w:rPr>
          <w:shd w:val="clear" w:color="auto" w:fill="FFFFFF"/>
        </w:rPr>
        <w:t xml:space="preserve">, </w:t>
      </w:r>
      <w:r w:rsidRPr="001A7FF1">
        <w:rPr>
          <w:i/>
          <w:iCs/>
          <w:shd w:val="clear" w:color="auto" w:fill="FFFFFF"/>
        </w:rPr>
        <w:t>41</w:t>
      </w:r>
      <w:r w:rsidRPr="001A7FF1">
        <w:rPr>
          <w:shd w:val="clear" w:color="auto" w:fill="FFFFFF"/>
        </w:rPr>
        <w:t>(4), 729-744.</w:t>
      </w:r>
    </w:p>
    <w:p w:rsidR="00A000F1" w:rsidRPr="001A7FF1" w:rsidRDefault="00A000F1" w:rsidP="00A000F1">
      <w:pPr>
        <w:pStyle w:val="references"/>
        <w:rPr>
          <w:bCs/>
        </w:rPr>
      </w:pPr>
      <w:r w:rsidRPr="001A7FF1">
        <w:rPr>
          <w:shd w:val="clear" w:color="auto" w:fill="FFFFFF"/>
        </w:rPr>
        <w:t xml:space="preserve">Wylie, C., &amp; Neeley, K. (2016). Learning Out Loud (LOL): How Comics Can Develop the Communication and Critical Thinking Abilities of Engineering Students. In </w:t>
      </w:r>
      <w:r w:rsidRPr="001A7FF1">
        <w:rPr>
          <w:i/>
          <w:iCs/>
          <w:shd w:val="clear" w:color="auto" w:fill="FFFFFF"/>
        </w:rPr>
        <w:t>Proceedings of the 2016 ASEE Annual Conference</w:t>
      </w:r>
      <w:r w:rsidRPr="001A7FF1">
        <w:rPr>
          <w:shd w:val="clear" w:color="auto" w:fill="FFFFFF"/>
        </w:rPr>
        <w:t>.</w:t>
      </w:r>
    </w:p>
    <w:p w:rsidR="00C005A0" w:rsidRPr="001A7FF1" w:rsidRDefault="00C005A0" w:rsidP="00CD2FC6">
      <w:pPr>
        <w:rPr>
          <w:b/>
          <w:sz w:val="20"/>
          <w:szCs w:val="20"/>
        </w:rPr>
      </w:pPr>
    </w:p>
    <w:p w:rsidR="00CD2FC6" w:rsidRPr="001A7FF1" w:rsidRDefault="00CD2FC6" w:rsidP="00CD2FC6">
      <w:pPr>
        <w:spacing w:after="80" w:line="240" w:lineRule="exact"/>
        <w:outlineLvl w:val="0"/>
        <w:rPr>
          <w:b/>
          <w:sz w:val="20"/>
          <w:szCs w:val="20"/>
          <w:lang w:eastAsia="en-US"/>
        </w:rPr>
      </w:pPr>
      <w:r w:rsidRPr="001A7FF1">
        <w:rPr>
          <w:b/>
          <w:sz w:val="20"/>
          <w:szCs w:val="20"/>
          <w:lang w:eastAsia="en-US"/>
        </w:rPr>
        <w:t>Copyrights</w:t>
      </w:r>
    </w:p>
    <w:p w:rsidR="00CD2FC6" w:rsidRPr="001A7FF1" w:rsidRDefault="00CD2FC6" w:rsidP="00CD2FC6">
      <w:pPr>
        <w:spacing w:after="80" w:line="240" w:lineRule="exact"/>
        <w:rPr>
          <w:sz w:val="20"/>
          <w:szCs w:val="20"/>
          <w:lang w:eastAsia="en-US"/>
        </w:rPr>
      </w:pPr>
      <w:bookmarkStart w:id="3" w:name="OLE_LINK9"/>
      <w:bookmarkStart w:id="4" w:name="OLE_LINK10"/>
      <w:r w:rsidRPr="001A7FF1">
        <w:rPr>
          <w:sz w:val="20"/>
          <w:szCs w:val="20"/>
          <w:lang w:eastAsia="en-US"/>
        </w:rPr>
        <w:t>Copyright for this article is retained by the author(s), with first publication rights granted to the journal.</w:t>
      </w:r>
    </w:p>
    <w:p w:rsidR="00CD2FC6" w:rsidRPr="001A7FF1" w:rsidRDefault="00CD2FC6" w:rsidP="00CD2FC6">
      <w:pPr>
        <w:spacing w:after="80" w:line="240" w:lineRule="exact"/>
        <w:rPr>
          <w:sz w:val="20"/>
          <w:szCs w:val="20"/>
          <w:lang w:eastAsia="en-US"/>
        </w:rPr>
      </w:pPr>
      <w:r w:rsidRPr="001A7FF1">
        <w:rPr>
          <w:sz w:val="20"/>
          <w:szCs w:val="20"/>
          <w:lang w:eastAsia="en-US"/>
        </w:rPr>
        <w:t>This is an open-access article distributed under the terms and conditions of the Creative Commons Attribution license (http://creativecommons.org/licenses/by/</w:t>
      </w:r>
      <w:r w:rsidR="00CA1666" w:rsidRPr="001A7FF1">
        <w:rPr>
          <w:sz w:val="20"/>
          <w:szCs w:val="20"/>
        </w:rPr>
        <w:t>4</w:t>
      </w:r>
      <w:r w:rsidRPr="001A7FF1">
        <w:rPr>
          <w:sz w:val="20"/>
          <w:szCs w:val="20"/>
          <w:lang w:eastAsia="en-US"/>
        </w:rPr>
        <w:t>.0/).</w:t>
      </w:r>
    </w:p>
    <w:bookmarkEnd w:id="0"/>
    <w:bookmarkEnd w:id="1"/>
    <w:bookmarkEnd w:id="3"/>
    <w:bookmarkEnd w:id="4"/>
    <w:p w:rsidR="00CD2FC6" w:rsidRPr="001A7FF1" w:rsidRDefault="00CD2FC6" w:rsidP="00CD2FC6">
      <w:pPr>
        <w:spacing w:after="80" w:line="240" w:lineRule="exact"/>
        <w:rPr>
          <w:sz w:val="20"/>
          <w:szCs w:val="20"/>
        </w:rPr>
      </w:pPr>
    </w:p>
    <w:p w:rsidR="0059065F" w:rsidRPr="001A7FF1" w:rsidRDefault="0059065F" w:rsidP="00D8198D">
      <w:pPr>
        <w:rPr>
          <w:sz w:val="20"/>
          <w:szCs w:val="20"/>
        </w:rPr>
      </w:pPr>
    </w:p>
    <w:sectPr w:rsidR="0059065F" w:rsidRPr="001A7FF1" w:rsidSect="003C3CA9">
      <w:headerReference w:type="default" r:id="rId10"/>
      <w:footerReference w:type="default" r:id="rId11"/>
      <w:headerReference w:type="first" r:id="rId12"/>
      <w:footerReference w:type="first" r:id="rId13"/>
      <w:pgSz w:w="11907" w:h="16160" w:code="157"/>
      <w:pgMar w:top="1418" w:right="1418" w:bottom="1134" w:left="1418" w:header="794" w:footer="51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542" w:rsidRDefault="00BD7542" w:rsidP="007E0D5B">
      <w:r>
        <w:separator/>
      </w:r>
    </w:p>
  </w:endnote>
  <w:endnote w:type="continuationSeparator" w:id="0">
    <w:p w:rsidR="00BD7542" w:rsidRDefault="00BD7542" w:rsidP="007E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HGMaruGothicMPRO"/>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AB" w:rsidRDefault="006161AB" w:rsidP="006161AB">
    <w:pPr>
      <w:pStyle w:val="a5"/>
    </w:pPr>
    <w:bookmarkStart w:id="5" w:name="_Hlk501566499"/>
    <w:r>
      <w:ptab w:relativeTo="margin" w:alignment="center" w:leader="none"/>
    </w:r>
    <w:r w:rsidR="00002477">
      <w:fldChar w:fldCharType="begin"/>
    </w:r>
    <w:r w:rsidR="00002477">
      <w:instrText>PAGE   \* MERGEFORMAT</w:instrText>
    </w:r>
    <w:r w:rsidR="00002477">
      <w:fldChar w:fldCharType="separate"/>
    </w:r>
    <w:r w:rsidR="002461E0" w:rsidRPr="002461E0">
      <w:rPr>
        <w:noProof/>
        <w:lang w:val="zh-CN"/>
      </w:rPr>
      <w:t>8</w:t>
    </w:r>
    <w:r w:rsidR="00002477">
      <w:fldChar w:fldCharType="end"/>
    </w:r>
    <w:r>
      <w:ptab w:relativeTo="margin" w:alignment="right" w:leader="none"/>
    </w:r>
    <w:r w:rsidRPr="0057230D">
      <w:t>Published by IDEAS SPREAD</w:t>
    </w:r>
  </w:p>
  <w:bookmarkEnd w:id="5"/>
  <w:p w:rsidR="007E0D5B" w:rsidRDefault="007E0D5B" w:rsidP="00036F9F">
    <w:pPr>
      <w:pStyle w:val="a5"/>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E9" w:rsidRDefault="00FA23E9" w:rsidP="00FA23E9">
    <w:pPr>
      <w:pStyle w:val="a5"/>
    </w:pPr>
    <w:r>
      <w:ptab w:relativeTo="margin" w:alignment="center" w:leader="none"/>
    </w:r>
    <w:r>
      <w:t>1</w:t>
    </w:r>
    <w:r>
      <w:ptab w:relativeTo="margin" w:alignment="right" w:leader="none"/>
    </w:r>
    <w:r w:rsidRPr="0057230D">
      <w:t>Published by IDEAS SPREAD</w:t>
    </w:r>
  </w:p>
  <w:p w:rsidR="00036F9F" w:rsidRPr="003C3CA9" w:rsidRDefault="00036F9F" w:rsidP="00284410">
    <w:pPr>
      <w:pStyle w:val="a5"/>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542" w:rsidRDefault="00BD7542" w:rsidP="007E0D5B">
      <w:r>
        <w:separator/>
      </w:r>
    </w:p>
  </w:footnote>
  <w:footnote w:type="continuationSeparator" w:id="0">
    <w:p w:rsidR="00BD7542" w:rsidRDefault="00BD7542" w:rsidP="007E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D5B" w:rsidRPr="007E0D5B" w:rsidRDefault="000412EB" w:rsidP="00522B2F">
    <w:pPr>
      <w:pStyle w:val="a3"/>
      <w:tabs>
        <w:tab w:val="clear" w:pos="4153"/>
        <w:tab w:val="clear" w:pos="8306"/>
        <w:tab w:val="center" w:pos="4536"/>
        <w:tab w:val="right" w:pos="9072"/>
      </w:tabs>
      <w:jc w:val="both"/>
    </w:pPr>
    <w:r>
      <w:t>ier</w:t>
    </w:r>
    <w:r w:rsidR="00A978C5" w:rsidRPr="00A978C5">
      <w:t>.ideasspread.org</w:t>
    </w:r>
    <w:r w:rsidR="00607A5B" w:rsidRPr="004C4895">
      <w:tab/>
    </w:r>
    <w:r w:rsidR="008E65F2">
      <w:t xml:space="preserve">  </w:t>
    </w:r>
    <w:r>
      <w:rPr>
        <w:color w:val="000000"/>
        <w:shd w:val="clear" w:color="auto" w:fill="FFFFFF"/>
      </w:rPr>
      <w:t>International Educational Research</w:t>
    </w:r>
    <w:r w:rsidR="00607A5B" w:rsidRPr="004C4895">
      <w:tab/>
    </w:r>
    <w:r w:rsidR="00813E9D" w:rsidRPr="00813E9D">
      <w:t>Vol</w:t>
    </w:r>
    <w:r w:rsidR="00E36E42">
      <w:t>.</w:t>
    </w:r>
    <w:r w:rsidR="00813E9D" w:rsidRPr="00813E9D">
      <w:t xml:space="preserve"> </w:t>
    </w:r>
    <w:r w:rsidR="003F2CE2">
      <w:t>2</w:t>
    </w:r>
    <w:r w:rsidR="00813E9D" w:rsidRPr="00813E9D">
      <w:t>, No</w:t>
    </w:r>
    <w:r w:rsidR="00E36E42">
      <w:t>.</w:t>
    </w:r>
    <w:r w:rsidR="00813E9D" w:rsidRPr="00813E9D">
      <w:t xml:space="preserve"> </w:t>
    </w:r>
    <w:r w:rsidR="005F34AF">
      <w:t>2</w:t>
    </w:r>
    <w:r w:rsidR="00E36E42">
      <w:t xml:space="preserve">; </w:t>
    </w:r>
    <w:r w:rsidR="00813E9D" w:rsidRPr="00813E9D">
      <w:t>201</w:t>
    </w:r>
    <w:r w:rsidR="003F2CE2">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A5B" w:rsidRPr="00262C71" w:rsidRDefault="001C2CC4" w:rsidP="00776B98">
    <w:pPr>
      <w:pStyle w:val="a3"/>
      <w:wordWrap w:val="0"/>
      <w:snapToGrid/>
      <w:jc w:val="right"/>
      <w:rPr>
        <w:color w:val="FF0000"/>
      </w:rPr>
    </w:pPr>
    <w:r>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24130</wp:posOffset>
          </wp:positionV>
          <wp:extent cx="609600" cy="36576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365760"/>
                  </a:xfrm>
                  <a:prstGeom prst="rect">
                    <a:avLst/>
                  </a:prstGeom>
                  <a:noFill/>
                  <a:ln>
                    <a:noFill/>
                  </a:ln>
                </pic:spPr>
              </pic:pic>
            </a:graphicData>
          </a:graphic>
        </wp:anchor>
      </w:drawing>
    </w:r>
    <w:r w:rsidR="004850A0" w:rsidRPr="004850A0">
      <w:t xml:space="preserve"> </w:t>
    </w:r>
    <w:r w:rsidR="000A4A47" w:rsidRPr="00C63C55">
      <w:t>International Educational Research</w:t>
    </w:r>
    <w:r w:rsidR="00262C71">
      <w:t>;</w:t>
    </w:r>
    <w:r w:rsidR="00776B98">
      <w:t xml:space="preserve"> </w:t>
    </w:r>
    <w:r w:rsidR="00262C71" w:rsidRPr="007E0D5B">
      <w:t>Vol.</w:t>
    </w:r>
    <w:r w:rsidR="00776B98">
      <w:t xml:space="preserve"> </w:t>
    </w:r>
    <w:r w:rsidR="003F2CE2">
      <w:t>2</w:t>
    </w:r>
    <w:r w:rsidR="00262C71" w:rsidRPr="007E0D5B">
      <w:t>,</w:t>
    </w:r>
    <w:r w:rsidR="00776B98">
      <w:t xml:space="preserve"> </w:t>
    </w:r>
    <w:r w:rsidR="00262C71" w:rsidRPr="007E0D5B">
      <w:t>No.</w:t>
    </w:r>
    <w:r w:rsidR="00776B98">
      <w:t xml:space="preserve"> </w:t>
    </w:r>
    <w:r w:rsidR="005F34AF">
      <w:t>2</w:t>
    </w:r>
    <w:r w:rsidR="00262C71" w:rsidRPr="007E0D5B">
      <w:t>;</w:t>
    </w:r>
    <w:r w:rsidR="00262C71">
      <w:rPr>
        <w:rFonts w:hint="eastAsia"/>
      </w:rPr>
      <w:t xml:space="preserve"> </w:t>
    </w:r>
    <w:r w:rsidR="00262C71" w:rsidRPr="007E0D5B">
      <w:t>201</w:t>
    </w:r>
    <w:r w:rsidR="003F2CE2">
      <w:t>9</w:t>
    </w:r>
  </w:p>
  <w:p w:rsidR="00482428" w:rsidRDefault="000A4A47" w:rsidP="000C2894">
    <w:pPr>
      <w:pStyle w:val="a3"/>
      <w:jc w:val="right"/>
    </w:pPr>
    <w:r w:rsidRPr="000A4A47">
      <w:t>ISSN 2576-3059   E-ISSN 2576-3067</w:t>
    </w:r>
  </w:p>
  <w:p w:rsidR="000C2894" w:rsidRPr="00147129" w:rsidRDefault="00E44BD5" w:rsidP="000C2894">
    <w:pPr>
      <w:pStyle w:val="a3"/>
      <w:jc w:val="right"/>
    </w:pPr>
    <w:r w:rsidRPr="00E44BD5">
      <w:t>https://doi.org/10.30560/</w:t>
    </w:r>
    <w:r w:rsidR="000A4A47">
      <w:t>ier</w:t>
    </w:r>
    <w:r w:rsidR="00AB7ACE">
      <w:t>.v</w:t>
    </w:r>
    <w:r w:rsidR="003F2CE2">
      <w:t>2</w:t>
    </w:r>
    <w:r w:rsidR="00AB7ACE">
      <w:t>n</w:t>
    </w:r>
    <w:r w:rsidR="005F34AF">
      <w:t>2</w:t>
    </w:r>
    <w:r w:rsidR="00AB7ACE">
      <w:t>pX</w:t>
    </w:r>
    <w:r w:rsidR="00A23CD4">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309"/>
    <w:multiLevelType w:val="hybridMultilevel"/>
    <w:tmpl w:val="ACF4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8152A"/>
    <w:multiLevelType w:val="hybridMultilevel"/>
    <w:tmpl w:val="69FC7522"/>
    <w:lvl w:ilvl="0" w:tplc="0D54AEB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243F1"/>
    <w:multiLevelType w:val="hybridMultilevel"/>
    <w:tmpl w:val="92705F58"/>
    <w:lvl w:ilvl="0" w:tplc="39DAD544">
      <w:numFmt w:val="bullet"/>
      <w:suff w:val="space"/>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637E99"/>
    <w:multiLevelType w:val="hybridMultilevel"/>
    <w:tmpl w:val="061CE29E"/>
    <w:lvl w:ilvl="0" w:tplc="0408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D5B"/>
    <w:rsid w:val="00002477"/>
    <w:rsid w:val="00012045"/>
    <w:rsid w:val="00036F9F"/>
    <w:rsid w:val="000412EB"/>
    <w:rsid w:val="00057627"/>
    <w:rsid w:val="000839FC"/>
    <w:rsid w:val="0008400B"/>
    <w:rsid w:val="000A4A47"/>
    <w:rsid w:val="000C1860"/>
    <w:rsid w:val="000C2894"/>
    <w:rsid w:val="000D544A"/>
    <w:rsid w:val="000F64CA"/>
    <w:rsid w:val="00147129"/>
    <w:rsid w:val="00177F92"/>
    <w:rsid w:val="001A0DB4"/>
    <w:rsid w:val="001A7FF1"/>
    <w:rsid w:val="001C2CC4"/>
    <w:rsid w:val="001D0523"/>
    <w:rsid w:val="00210FCA"/>
    <w:rsid w:val="002130E0"/>
    <w:rsid w:val="0023394A"/>
    <w:rsid w:val="002461E0"/>
    <w:rsid w:val="002613E2"/>
    <w:rsid w:val="00262C71"/>
    <w:rsid w:val="002655B9"/>
    <w:rsid w:val="00284410"/>
    <w:rsid w:val="00292F51"/>
    <w:rsid w:val="00294E77"/>
    <w:rsid w:val="002B2B42"/>
    <w:rsid w:val="002C0140"/>
    <w:rsid w:val="002C1A95"/>
    <w:rsid w:val="002D2505"/>
    <w:rsid w:val="002F593A"/>
    <w:rsid w:val="002F7961"/>
    <w:rsid w:val="00303763"/>
    <w:rsid w:val="003158B4"/>
    <w:rsid w:val="00315EA7"/>
    <w:rsid w:val="003402B0"/>
    <w:rsid w:val="00380114"/>
    <w:rsid w:val="00393F42"/>
    <w:rsid w:val="00395179"/>
    <w:rsid w:val="003A5437"/>
    <w:rsid w:val="003C3CA9"/>
    <w:rsid w:val="003D78CA"/>
    <w:rsid w:val="003E585A"/>
    <w:rsid w:val="003F2CE2"/>
    <w:rsid w:val="00424169"/>
    <w:rsid w:val="00444D53"/>
    <w:rsid w:val="004544AC"/>
    <w:rsid w:val="00456158"/>
    <w:rsid w:val="0047444A"/>
    <w:rsid w:val="00482428"/>
    <w:rsid w:val="004850A0"/>
    <w:rsid w:val="004B7A14"/>
    <w:rsid w:val="004D39AA"/>
    <w:rsid w:val="004F6B1E"/>
    <w:rsid w:val="00522B2F"/>
    <w:rsid w:val="00551165"/>
    <w:rsid w:val="00570AE3"/>
    <w:rsid w:val="00572288"/>
    <w:rsid w:val="0057230D"/>
    <w:rsid w:val="00583EE1"/>
    <w:rsid w:val="0059065F"/>
    <w:rsid w:val="005A07FF"/>
    <w:rsid w:val="005D57F0"/>
    <w:rsid w:val="005F2E9D"/>
    <w:rsid w:val="005F34AF"/>
    <w:rsid w:val="00607A5B"/>
    <w:rsid w:val="006161AB"/>
    <w:rsid w:val="006318A5"/>
    <w:rsid w:val="00631D79"/>
    <w:rsid w:val="006A3454"/>
    <w:rsid w:val="006C2326"/>
    <w:rsid w:val="00702F9E"/>
    <w:rsid w:val="00715802"/>
    <w:rsid w:val="00731EBA"/>
    <w:rsid w:val="00736C30"/>
    <w:rsid w:val="00763739"/>
    <w:rsid w:val="00776B98"/>
    <w:rsid w:val="007846A1"/>
    <w:rsid w:val="00794D56"/>
    <w:rsid w:val="007D56D3"/>
    <w:rsid w:val="007E0D5B"/>
    <w:rsid w:val="007F23A6"/>
    <w:rsid w:val="00813E9D"/>
    <w:rsid w:val="0082287C"/>
    <w:rsid w:val="0083244F"/>
    <w:rsid w:val="00846E55"/>
    <w:rsid w:val="008962D3"/>
    <w:rsid w:val="008D77BF"/>
    <w:rsid w:val="008E0C85"/>
    <w:rsid w:val="008E65F2"/>
    <w:rsid w:val="008F11EB"/>
    <w:rsid w:val="00907F87"/>
    <w:rsid w:val="00935942"/>
    <w:rsid w:val="00973BA3"/>
    <w:rsid w:val="00976B26"/>
    <w:rsid w:val="00992B8A"/>
    <w:rsid w:val="009B3668"/>
    <w:rsid w:val="009E232C"/>
    <w:rsid w:val="009E44E3"/>
    <w:rsid w:val="00A000F1"/>
    <w:rsid w:val="00A23CD4"/>
    <w:rsid w:val="00A51EFE"/>
    <w:rsid w:val="00A53A7F"/>
    <w:rsid w:val="00A732AD"/>
    <w:rsid w:val="00A9496C"/>
    <w:rsid w:val="00A978C5"/>
    <w:rsid w:val="00AA6105"/>
    <w:rsid w:val="00AB7ACE"/>
    <w:rsid w:val="00AC4CDE"/>
    <w:rsid w:val="00AE0DC3"/>
    <w:rsid w:val="00AF7197"/>
    <w:rsid w:val="00B12342"/>
    <w:rsid w:val="00B52A8F"/>
    <w:rsid w:val="00B640D0"/>
    <w:rsid w:val="00B671B2"/>
    <w:rsid w:val="00B824CB"/>
    <w:rsid w:val="00BC144C"/>
    <w:rsid w:val="00BD1BA9"/>
    <w:rsid w:val="00BD7542"/>
    <w:rsid w:val="00BE630C"/>
    <w:rsid w:val="00C005A0"/>
    <w:rsid w:val="00C040BF"/>
    <w:rsid w:val="00C047FE"/>
    <w:rsid w:val="00C10007"/>
    <w:rsid w:val="00C202B7"/>
    <w:rsid w:val="00C217FE"/>
    <w:rsid w:val="00C25FE2"/>
    <w:rsid w:val="00C30E62"/>
    <w:rsid w:val="00C4135E"/>
    <w:rsid w:val="00C63C55"/>
    <w:rsid w:val="00C67AC8"/>
    <w:rsid w:val="00CA1666"/>
    <w:rsid w:val="00CC1368"/>
    <w:rsid w:val="00CD2FC6"/>
    <w:rsid w:val="00CD3A2B"/>
    <w:rsid w:val="00CE601D"/>
    <w:rsid w:val="00CE61E3"/>
    <w:rsid w:val="00D05817"/>
    <w:rsid w:val="00D122F3"/>
    <w:rsid w:val="00D20611"/>
    <w:rsid w:val="00D30531"/>
    <w:rsid w:val="00D34A8F"/>
    <w:rsid w:val="00D51A1E"/>
    <w:rsid w:val="00D654A7"/>
    <w:rsid w:val="00D7256B"/>
    <w:rsid w:val="00D7300D"/>
    <w:rsid w:val="00D8198D"/>
    <w:rsid w:val="00D82E34"/>
    <w:rsid w:val="00D957F8"/>
    <w:rsid w:val="00DA0906"/>
    <w:rsid w:val="00DE37EF"/>
    <w:rsid w:val="00E05F0D"/>
    <w:rsid w:val="00E244DC"/>
    <w:rsid w:val="00E36E42"/>
    <w:rsid w:val="00E44BD5"/>
    <w:rsid w:val="00E7521A"/>
    <w:rsid w:val="00E76B61"/>
    <w:rsid w:val="00E77342"/>
    <w:rsid w:val="00E96E2D"/>
    <w:rsid w:val="00EB14C2"/>
    <w:rsid w:val="00ED5709"/>
    <w:rsid w:val="00EE51CD"/>
    <w:rsid w:val="00EE611B"/>
    <w:rsid w:val="00EF0B7E"/>
    <w:rsid w:val="00EF200A"/>
    <w:rsid w:val="00FA23E9"/>
    <w:rsid w:val="00FE4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18D7D"/>
  <w15:docId w15:val="{FB25C6C4-DEA7-4CF2-9D95-5D3E4BD2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9065F"/>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607A5B"/>
    <w:pPr>
      <w:keepNext/>
      <w:widowControl/>
      <w:overflowPunct w:val="0"/>
      <w:autoSpaceDE w:val="0"/>
      <w:autoSpaceDN w:val="0"/>
      <w:adjustRightInd w:val="0"/>
      <w:spacing w:after="160" w:line="280" w:lineRule="exact"/>
      <w:textAlignment w:val="baseline"/>
      <w:outlineLvl w:val="0"/>
    </w:pPr>
    <w:rPr>
      <w:b/>
      <w:bCs/>
      <w:kern w:val="0"/>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D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0D5B"/>
    <w:rPr>
      <w:sz w:val="18"/>
      <w:szCs w:val="18"/>
    </w:rPr>
  </w:style>
  <w:style w:type="paragraph" w:styleId="a5">
    <w:name w:val="footer"/>
    <w:basedOn w:val="a"/>
    <w:link w:val="a6"/>
    <w:uiPriority w:val="99"/>
    <w:unhideWhenUsed/>
    <w:rsid w:val="007E0D5B"/>
    <w:pPr>
      <w:tabs>
        <w:tab w:val="center" w:pos="4153"/>
        <w:tab w:val="right" w:pos="8306"/>
      </w:tabs>
      <w:snapToGrid w:val="0"/>
      <w:jc w:val="left"/>
    </w:pPr>
    <w:rPr>
      <w:sz w:val="18"/>
      <w:szCs w:val="18"/>
    </w:rPr>
  </w:style>
  <w:style w:type="character" w:customStyle="1" w:styleId="a6">
    <w:name w:val="页脚 字符"/>
    <w:basedOn w:val="a0"/>
    <w:link w:val="a5"/>
    <w:uiPriority w:val="99"/>
    <w:rsid w:val="007E0D5B"/>
    <w:rPr>
      <w:sz w:val="18"/>
      <w:szCs w:val="18"/>
    </w:rPr>
  </w:style>
  <w:style w:type="paragraph" w:styleId="a7">
    <w:name w:val="No Spacing"/>
    <w:link w:val="a8"/>
    <w:uiPriority w:val="1"/>
    <w:qFormat/>
    <w:rsid w:val="007E0D5B"/>
    <w:rPr>
      <w:kern w:val="0"/>
      <w:sz w:val="22"/>
    </w:rPr>
  </w:style>
  <w:style w:type="character" w:customStyle="1" w:styleId="a8">
    <w:name w:val="无间隔 字符"/>
    <w:basedOn w:val="a0"/>
    <w:link w:val="a7"/>
    <w:uiPriority w:val="1"/>
    <w:rsid w:val="007E0D5B"/>
    <w:rPr>
      <w:kern w:val="0"/>
      <w:sz w:val="22"/>
    </w:rPr>
  </w:style>
  <w:style w:type="character" w:styleId="a9">
    <w:name w:val="Hyperlink"/>
    <w:basedOn w:val="a0"/>
    <w:uiPriority w:val="99"/>
    <w:unhideWhenUsed/>
    <w:rsid w:val="007E0D5B"/>
    <w:rPr>
      <w:color w:val="0000FF" w:themeColor="hyperlink"/>
      <w:u w:val="single"/>
    </w:rPr>
  </w:style>
  <w:style w:type="paragraph" w:styleId="aa">
    <w:name w:val="Balloon Text"/>
    <w:basedOn w:val="a"/>
    <w:link w:val="ab"/>
    <w:uiPriority w:val="99"/>
    <w:semiHidden/>
    <w:unhideWhenUsed/>
    <w:rsid w:val="0059065F"/>
    <w:rPr>
      <w:sz w:val="18"/>
      <w:szCs w:val="18"/>
    </w:rPr>
  </w:style>
  <w:style w:type="character" w:customStyle="1" w:styleId="ab">
    <w:name w:val="批注框文本 字符"/>
    <w:basedOn w:val="a0"/>
    <w:link w:val="aa"/>
    <w:uiPriority w:val="99"/>
    <w:semiHidden/>
    <w:rsid w:val="0059065F"/>
    <w:rPr>
      <w:rFonts w:ascii="Times New Roman" w:eastAsia="宋体" w:hAnsi="Times New Roman" w:cs="Times New Roman"/>
      <w:sz w:val="18"/>
      <w:szCs w:val="18"/>
    </w:rPr>
  </w:style>
  <w:style w:type="paragraph" w:styleId="ac">
    <w:name w:val="Document Map"/>
    <w:basedOn w:val="a"/>
    <w:link w:val="ad"/>
    <w:uiPriority w:val="99"/>
    <w:semiHidden/>
    <w:unhideWhenUsed/>
    <w:rsid w:val="00380114"/>
    <w:rPr>
      <w:rFonts w:ascii="宋体"/>
      <w:sz w:val="18"/>
      <w:szCs w:val="18"/>
    </w:rPr>
  </w:style>
  <w:style w:type="character" w:customStyle="1" w:styleId="ad">
    <w:name w:val="文档结构图 字符"/>
    <w:basedOn w:val="a0"/>
    <w:link w:val="ac"/>
    <w:uiPriority w:val="99"/>
    <w:semiHidden/>
    <w:rsid w:val="00380114"/>
    <w:rPr>
      <w:rFonts w:ascii="宋体" w:eastAsia="宋体" w:hAnsi="Times New Roman" w:cs="Times New Roman"/>
      <w:sz w:val="18"/>
      <w:szCs w:val="18"/>
    </w:rPr>
  </w:style>
  <w:style w:type="character" w:customStyle="1" w:styleId="1Char">
    <w:name w:val="标题 1 Char"/>
    <w:basedOn w:val="a0"/>
    <w:uiPriority w:val="9"/>
    <w:rsid w:val="00607A5B"/>
    <w:rPr>
      <w:rFonts w:ascii="Times New Roman" w:eastAsia="宋体" w:hAnsi="Times New Roman" w:cs="Times New Roman"/>
      <w:b/>
      <w:bCs/>
      <w:kern w:val="44"/>
      <w:sz w:val="44"/>
      <w:szCs w:val="44"/>
    </w:rPr>
  </w:style>
  <w:style w:type="character" w:customStyle="1" w:styleId="10">
    <w:name w:val="标题 1 字符"/>
    <w:basedOn w:val="a0"/>
    <w:link w:val="1"/>
    <w:uiPriority w:val="9"/>
    <w:locked/>
    <w:rsid w:val="00607A5B"/>
    <w:rPr>
      <w:rFonts w:ascii="Times New Roman" w:eastAsia="宋体" w:hAnsi="Times New Roman" w:cs="Times New Roman"/>
      <w:b/>
      <w:bCs/>
      <w:kern w:val="0"/>
      <w:sz w:val="22"/>
      <w:lang w:val="en-GB"/>
    </w:rPr>
  </w:style>
  <w:style w:type="character" w:styleId="ae">
    <w:name w:val="Unresolved Mention"/>
    <w:basedOn w:val="a0"/>
    <w:uiPriority w:val="99"/>
    <w:semiHidden/>
    <w:unhideWhenUsed/>
    <w:rsid w:val="00147129"/>
    <w:rPr>
      <w:color w:val="808080"/>
      <w:shd w:val="clear" w:color="auto" w:fill="E6E6E6"/>
    </w:rPr>
  </w:style>
  <w:style w:type="paragraph" w:customStyle="1" w:styleId="11">
    <w:name w:val="标题1"/>
    <w:basedOn w:val="a"/>
    <w:link w:val="TITLE"/>
    <w:qFormat/>
    <w:rsid w:val="00E77342"/>
    <w:pPr>
      <w:spacing w:before="200" w:after="200" w:line="400" w:lineRule="exact"/>
      <w:jc w:val="center"/>
    </w:pPr>
    <w:rPr>
      <w:sz w:val="32"/>
      <w:szCs w:val="32"/>
    </w:rPr>
  </w:style>
  <w:style w:type="paragraph" w:customStyle="1" w:styleId="authorname">
    <w:name w:val="author name"/>
    <w:basedOn w:val="a"/>
    <w:link w:val="authorname0"/>
    <w:qFormat/>
    <w:rsid w:val="00E77342"/>
    <w:pPr>
      <w:widowControl/>
      <w:adjustRightInd w:val="0"/>
      <w:snapToGrid w:val="0"/>
      <w:spacing w:after="80" w:line="240" w:lineRule="exact"/>
      <w:jc w:val="center"/>
      <w:outlineLvl w:val="0"/>
    </w:pPr>
    <w:rPr>
      <w:kern w:val="0"/>
      <w:sz w:val="20"/>
      <w:szCs w:val="20"/>
      <w:lang w:val="de-DE"/>
    </w:rPr>
  </w:style>
  <w:style w:type="character" w:customStyle="1" w:styleId="TITLE">
    <w:name w:val="TITLE 字符"/>
    <w:basedOn w:val="a0"/>
    <w:link w:val="11"/>
    <w:rsid w:val="00E77342"/>
    <w:rPr>
      <w:rFonts w:ascii="Times New Roman" w:eastAsia="宋体" w:hAnsi="Times New Roman" w:cs="Times New Roman"/>
      <w:sz w:val="32"/>
      <w:szCs w:val="32"/>
    </w:rPr>
  </w:style>
  <w:style w:type="paragraph" w:customStyle="1" w:styleId="text">
    <w:name w:val="text"/>
    <w:basedOn w:val="a"/>
    <w:link w:val="text0"/>
    <w:qFormat/>
    <w:rsid w:val="00057627"/>
    <w:pPr>
      <w:widowControl/>
      <w:spacing w:after="80" w:line="240" w:lineRule="exact"/>
    </w:pPr>
    <w:rPr>
      <w:rFonts w:eastAsia="Times New Roman"/>
      <w:bCs/>
      <w:kern w:val="0"/>
      <w:sz w:val="20"/>
      <w:szCs w:val="20"/>
      <w:lang w:eastAsia="en-US"/>
    </w:rPr>
  </w:style>
  <w:style w:type="character" w:customStyle="1" w:styleId="authorname0">
    <w:name w:val="author name 字符"/>
    <w:basedOn w:val="a0"/>
    <w:link w:val="authorname"/>
    <w:rsid w:val="00E77342"/>
    <w:rPr>
      <w:rFonts w:ascii="Times New Roman" w:eastAsia="宋体" w:hAnsi="Times New Roman" w:cs="Times New Roman"/>
      <w:kern w:val="0"/>
      <w:sz w:val="20"/>
      <w:szCs w:val="20"/>
      <w:lang w:val="de-DE"/>
    </w:rPr>
  </w:style>
  <w:style w:type="paragraph" w:customStyle="1" w:styleId="figure">
    <w:name w:val="figure"/>
    <w:basedOn w:val="a"/>
    <w:link w:val="figure0"/>
    <w:qFormat/>
    <w:rsid w:val="002613E2"/>
    <w:pPr>
      <w:tabs>
        <w:tab w:val="left" w:pos="3555"/>
      </w:tabs>
      <w:jc w:val="center"/>
    </w:pPr>
    <w:rPr>
      <w:noProof/>
      <w:sz w:val="20"/>
    </w:rPr>
  </w:style>
  <w:style w:type="character" w:customStyle="1" w:styleId="text0">
    <w:name w:val="text 字符"/>
    <w:basedOn w:val="a0"/>
    <w:link w:val="text"/>
    <w:rsid w:val="00057627"/>
    <w:rPr>
      <w:rFonts w:ascii="Times New Roman" w:eastAsia="Times New Roman" w:hAnsi="Times New Roman" w:cs="Times New Roman"/>
      <w:bCs/>
      <w:kern w:val="0"/>
      <w:sz w:val="20"/>
      <w:szCs w:val="20"/>
      <w:lang w:eastAsia="en-US"/>
    </w:rPr>
  </w:style>
  <w:style w:type="paragraph" w:customStyle="1" w:styleId="figure123">
    <w:name w:val="figure 1. 2. 3."/>
    <w:basedOn w:val="a"/>
    <w:link w:val="figure1230"/>
    <w:rsid w:val="00E77342"/>
    <w:pPr>
      <w:spacing w:after="80" w:line="240" w:lineRule="exact"/>
      <w:jc w:val="center"/>
      <w:outlineLvl w:val="0"/>
    </w:pPr>
    <w:rPr>
      <w:sz w:val="20"/>
      <w:szCs w:val="22"/>
    </w:rPr>
  </w:style>
  <w:style w:type="character" w:customStyle="1" w:styleId="figure0">
    <w:name w:val="figure 字符"/>
    <w:basedOn w:val="a0"/>
    <w:link w:val="figure"/>
    <w:rsid w:val="002613E2"/>
    <w:rPr>
      <w:rFonts w:ascii="Times New Roman" w:eastAsia="宋体" w:hAnsi="Times New Roman" w:cs="Times New Roman"/>
      <w:noProof/>
      <w:sz w:val="20"/>
      <w:szCs w:val="24"/>
    </w:rPr>
  </w:style>
  <w:style w:type="paragraph" w:customStyle="1" w:styleId="references">
    <w:name w:val="references"/>
    <w:basedOn w:val="a"/>
    <w:link w:val="references0"/>
    <w:qFormat/>
    <w:rsid w:val="00E77342"/>
    <w:pPr>
      <w:spacing w:after="80" w:line="240" w:lineRule="exact"/>
      <w:ind w:left="400" w:hangingChars="200" w:hanging="400"/>
    </w:pPr>
    <w:rPr>
      <w:sz w:val="20"/>
      <w:szCs w:val="20"/>
    </w:rPr>
  </w:style>
  <w:style w:type="character" w:customStyle="1" w:styleId="figure1230">
    <w:name w:val="figure 1. 2. 3. 字符"/>
    <w:basedOn w:val="a0"/>
    <w:link w:val="figure123"/>
    <w:rsid w:val="00E77342"/>
    <w:rPr>
      <w:rFonts w:ascii="Times New Roman" w:eastAsia="宋体" w:hAnsi="Times New Roman" w:cs="Times New Roman"/>
      <w:sz w:val="20"/>
    </w:rPr>
  </w:style>
  <w:style w:type="character" w:customStyle="1" w:styleId="references0">
    <w:name w:val="references 字符"/>
    <w:basedOn w:val="a0"/>
    <w:link w:val="references"/>
    <w:rsid w:val="00E77342"/>
    <w:rPr>
      <w:rFonts w:ascii="Times New Roman" w:eastAsia="宋体" w:hAnsi="Times New Roman" w:cs="Times New Roman"/>
      <w:sz w:val="20"/>
      <w:szCs w:val="20"/>
    </w:rPr>
  </w:style>
  <w:style w:type="paragraph" w:styleId="af">
    <w:name w:val="List Paragraph"/>
    <w:aliases w:val="Body of text,List Paragraph1,Medium Grid 1 - Accent 21,Body of text+1,Body of text+2,Body of text+3,List Paragraph11,Colorful List - Accent 11"/>
    <w:basedOn w:val="a"/>
    <w:link w:val="af0"/>
    <w:uiPriority w:val="34"/>
    <w:qFormat/>
    <w:rsid w:val="0083244F"/>
    <w:pPr>
      <w:widowControl/>
      <w:spacing w:after="200" w:line="360" w:lineRule="auto"/>
      <w:ind w:left="720" w:right="1134" w:hanging="567"/>
      <w:contextualSpacing/>
      <w:jc w:val="left"/>
    </w:pPr>
    <w:rPr>
      <w:rFonts w:asciiTheme="minorHAnsi" w:eastAsiaTheme="minorEastAsia" w:hAnsiTheme="minorHAnsi" w:cstheme="minorBidi"/>
      <w:kern w:val="0"/>
      <w:sz w:val="22"/>
      <w:szCs w:val="22"/>
      <w:lang w:eastAsia="en-US"/>
    </w:rPr>
  </w:style>
  <w:style w:type="character" w:customStyle="1" w:styleId="af0">
    <w:name w:val="列表段落 字符"/>
    <w:aliases w:val="Body of text 字符,List Paragraph1 字符,Medium Grid 1 - Accent 21 字符,Body of text+1 字符,Body of text+2 字符,Body of text+3 字符,List Paragraph11 字符,Colorful List - Accent 11 字符"/>
    <w:link w:val="af"/>
    <w:uiPriority w:val="34"/>
    <w:locked/>
    <w:rsid w:val="0083244F"/>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3152</Words>
  <Characters>17968</Characters>
  <Application>Microsoft Office Word</Application>
  <DocSecurity>0</DocSecurity>
  <Lines>149</Lines>
  <Paragraphs>42</Paragraphs>
  <ScaleCrop>false</ScaleCrop>
  <Company>Lenovo (Beijing) Limited</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Administrator</cp:lastModifiedBy>
  <cp:revision>88</cp:revision>
  <cp:lastPrinted>2012-05-16T07:59:00Z</cp:lastPrinted>
  <dcterms:created xsi:type="dcterms:W3CDTF">2014-07-28T08:48:00Z</dcterms:created>
  <dcterms:modified xsi:type="dcterms:W3CDTF">2019-05-06T05:08:00Z</dcterms:modified>
</cp:coreProperties>
</file>